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65DEA" w14:textId="77777777" w:rsidR="000749BC" w:rsidRPr="000749BC" w:rsidRDefault="000749BC" w:rsidP="000749BC">
      <w:pPr>
        <w:spacing w:after="0" w:line="240" w:lineRule="auto"/>
        <w:jc w:val="center"/>
        <w:rPr>
          <w:rFonts w:ascii="Georgia" w:eastAsia="Georgia" w:hAnsi="Georgia" w:cs="Georgia"/>
          <w:b/>
          <w:smallCaps/>
          <w:sz w:val="20"/>
          <w:szCs w:val="20"/>
        </w:rPr>
      </w:pPr>
      <w:bookmarkStart w:id="0" w:name="_GoBack"/>
      <w:bookmarkEnd w:id="0"/>
      <w:r w:rsidRPr="000749BC">
        <w:rPr>
          <w:rFonts w:ascii="Georgia" w:eastAsia="Georgia" w:hAnsi="Georgia" w:cs="Georgia"/>
          <w:b/>
          <w:smallCaps/>
          <w:noProof/>
          <w:sz w:val="20"/>
          <w:szCs w:val="20"/>
        </w:rPr>
        <w:drawing>
          <wp:inline distT="0" distB="0" distL="0" distR="0" wp14:anchorId="53C97380" wp14:editId="7260E97C">
            <wp:extent cx="2051050" cy="12700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0" cy="1270000"/>
                    </a:xfrm>
                    <a:prstGeom prst="rect">
                      <a:avLst/>
                    </a:prstGeom>
                    <a:noFill/>
                    <a:ln>
                      <a:noFill/>
                    </a:ln>
                  </pic:spPr>
                </pic:pic>
              </a:graphicData>
            </a:graphic>
          </wp:inline>
        </w:drawing>
      </w:r>
    </w:p>
    <w:p w14:paraId="32CDD617" w14:textId="77777777" w:rsidR="000749BC" w:rsidRPr="000749BC" w:rsidRDefault="000749BC" w:rsidP="000749BC">
      <w:pPr>
        <w:spacing w:after="0" w:line="240" w:lineRule="auto"/>
        <w:jc w:val="center"/>
        <w:rPr>
          <w:rFonts w:ascii="Georgia" w:eastAsia="Georgia" w:hAnsi="Georgia" w:cs="Georgia"/>
          <w:b/>
          <w:smallCaps/>
          <w:sz w:val="20"/>
          <w:szCs w:val="20"/>
        </w:rPr>
      </w:pPr>
    </w:p>
    <w:p w14:paraId="0F6029C1" w14:textId="77777777" w:rsidR="00D63873" w:rsidRDefault="00BA1A1C" w:rsidP="00D63873">
      <w:pPr>
        <w:ind w:left="720"/>
        <w:jc w:val="center"/>
        <w:rPr>
          <w:rFonts w:ascii="Times New Roman" w:hAnsi="Times New Roman" w:cs="Times New Roman"/>
          <w:b/>
          <w:bCs/>
        </w:rPr>
      </w:pPr>
      <w:r w:rsidRPr="00D63873">
        <w:rPr>
          <w:rFonts w:ascii="Times New Roman" w:hAnsi="Times New Roman" w:cs="Times New Roman"/>
          <w:b/>
          <w:bCs/>
        </w:rPr>
        <w:t xml:space="preserve">South East </w:t>
      </w:r>
      <w:r w:rsidR="000749BC" w:rsidRPr="00D63873">
        <w:rPr>
          <w:rFonts w:ascii="Times New Roman" w:hAnsi="Times New Roman" w:cs="Times New Roman"/>
          <w:b/>
          <w:bCs/>
        </w:rPr>
        <w:t>Circuit (</w:t>
      </w:r>
      <w:r w:rsidRPr="00D63873">
        <w:rPr>
          <w:rFonts w:ascii="Times New Roman" w:hAnsi="Times New Roman" w:cs="Times New Roman"/>
          <w:b/>
          <w:bCs/>
        </w:rPr>
        <w:t>South</w:t>
      </w:r>
      <w:r w:rsidR="000749BC" w:rsidRPr="00D63873">
        <w:rPr>
          <w:rFonts w:ascii="Times New Roman" w:hAnsi="Times New Roman" w:cs="Times New Roman"/>
          <w:b/>
          <w:bCs/>
        </w:rPr>
        <w:t>)</w:t>
      </w:r>
      <w:r w:rsidRPr="00D63873">
        <w:rPr>
          <w:rFonts w:ascii="Times New Roman" w:hAnsi="Times New Roman" w:cs="Times New Roman"/>
          <w:b/>
          <w:bCs/>
        </w:rPr>
        <w:t xml:space="preserve"> </w:t>
      </w:r>
      <w:r w:rsidR="000749BC" w:rsidRPr="00D63873">
        <w:rPr>
          <w:rFonts w:ascii="Times New Roman" w:hAnsi="Times New Roman" w:cs="Times New Roman"/>
          <w:b/>
          <w:bCs/>
        </w:rPr>
        <w:t xml:space="preserve">- </w:t>
      </w:r>
      <w:r w:rsidRPr="00D63873">
        <w:rPr>
          <w:rFonts w:ascii="Times New Roman" w:hAnsi="Times New Roman" w:cs="Times New Roman"/>
          <w:b/>
          <w:bCs/>
        </w:rPr>
        <w:t>Practice Note</w:t>
      </w:r>
      <w:r w:rsidR="000749BC" w:rsidRPr="00D63873">
        <w:rPr>
          <w:rFonts w:ascii="Times New Roman" w:hAnsi="Times New Roman" w:cs="Times New Roman"/>
          <w:b/>
          <w:bCs/>
        </w:rPr>
        <w:t xml:space="preserve"> - </w:t>
      </w:r>
      <w:r w:rsidRPr="00D63873">
        <w:rPr>
          <w:rFonts w:ascii="Times New Roman" w:hAnsi="Times New Roman" w:cs="Times New Roman"/>
          <w:b/>
          <w:bCs/>
        </w:rPr>
        <w:t>Public Law</w:t>
      </w:r>
    </w:p>
    <w:p w14:paraId="05B00769" w14:textId="284F9051" w:rsidR="00D63873" w:rsidRPr="00D63873" w:rsidRDefault="00D63873" w:rsidP="00D63873">
      <w:pPr>
        <w:ind w:left="720"/>
        <w:jc w:val="center"/>
        <w:rPr>
          <w:rFonts w:ascii="Times New Roman" w:hAnsi="Times New Roman" w:cs="Times New Roman"/>
          <w:b/>
          <w:bCs/>
        </w:rPr>
      </w:pPr>
      <w:r w:rsidRPr="00D63873">
        <w:rPr>
          <w:rFonts w:ascii="Times New Roman" w:hAnsi="Times New Roman" w:cs="Times New Roman"/>
          <w:b/>
          <w:bCs/>
        </w:rPr>
        <w:t>12 November 2025</w:t>
      </w:r>
    </w:p>
    <w:p w14:paraId="4E02C44A" w14:textId="4D18F886" w:rsidR="000749BC" w:rsidRDefault="000749BC" w:rsidP="00D63873">
      <w:pPr>
        <w:ind w:left="720" w:hanging="360"/>
        <w:jc w:val="both"/>
        <w:rPr>
          <w:rFonts w:ascii="Times New Roman" w:hAnsi="Times New Roman" w:cs="Times New Roman"/>
          <w:b/>
          <w:bCs/>
        </w:rPr>
      </w:pPr>
    </w:p>
    <w:p w14:paraId="6B432E96" w14:textId="26600DEB" w:rsidR="00074A33" w:rsidRPr="000749BC" w:rsidRDefault="00074A33" w:rsidP="000749BC">
      <w:pPr>
        <w:ind w:left="720" w:hanging="360"/>
        <w:rPr>
          <w:rFonts w:ascii="Times New Roman" w:hAnsi="Times New Roman" w:cs="Times New Roman"/>
          <w:b/>
          <w:bCs/>
        </w:rPr>
      </w:pPr>
      <w:r w:rsidRPr="000749BC">
        <w:rPr>
          <w:rFonts w:ascii="Times New Roman" w:hAnsi="Times New Roman" w:cs="Times New Roman"/>
          <w:b/>
          <w:bCs/>
          <w:i/>
          <w:iCs/>
        </w:rPr>
        <w:t>Introduction</w:t>
      </w:r>
      <w:r w:rsidRPr="00E124FF">
        <w:rPr>
          <w:rFonts w:ascii="Times New Roman" w:hAnsi="Times New Roman" w:cs="Times New Roman"/>
          <w:b/>
          <w:bCs/>
          <w:i/>
          <w:iCs/>
        </w:rPr>
        <w:t xml:space="preserve"> </w:t>
      </w:r>
    </w:p>
    <w:p w14:paraId="2D48D77A" w14:textId="001FC0B3" w:rsidR="00074A33" w:rsidRPr="00E124FF" w:rsidRDefault="596FEA14" w:rsidP="00074A33">
      <w:pPr>
        <w:pStyle w:val="ListParagraph"/>
        <w:numPr>
          <w:ilvl w:val="0"/>
          <w:numId w:val="13"/>
        </w:numPr>
        <w:jc w:val="both"/>
        <w:rPr>
          <w:rFonts w:ascii="Times New Roman" w:hAnsi="Times New Roman" w:cs="Times New Roman"/>
        </w:rPr>
      </w:pPr>
      <w:r w:rsidRPr="00E124FF">
        <w:rPr>
          <w:rFonts w:ascii="Times New Roman" w:hAnsi="Times New Roman" w:cs="Times New Roman"/>
        </w:rPr>
        <w:t>This</w:t>
      </w:r>
      <w:r w:rsidR="00CD673F" w:rsidRPr="00E124FF">
        <w:rPr>
          <w:rFonts w:ascii="Times New Roman" w:hAnsi="Times New Roman" w:cs="Times New Roman"/>
        </w:rPr>
        <w:t xml:space="preserve"> practi</w:t>
      </w:r>
      <w:r w:rsidR="00717A52" w:rsidRPr="00E124FF">
        <w:rPr>
          <w:rFonts w:ascii="Times New Roman" w:hAnsi="Times New Roman" w:cs="Times New Roman"/>
        </w:rPr>
        <w:t>ce no</w:t>
      </w:r>
      <w:r w:rsidR="00074A33" w:rsidRPr="00E124FF">
        <w:rPr>
          <w:rFonts w:ascii="Times New Roman" w:hAnsi="Times New Roman" w:cs="Times New Roman"/>
        </w:rPr>
        <w:t>te guides local</w:t>
      </w:r>
      <w:r w:rsidR="00717A52" w:rsidRPr="00E124FF">
        <w:rPr>
          <w:rFonts w:ascii="Times New Roman" w:hAnsi="Times New Roman" w:cs="Times New Roman"/>
        </w:rPr>
        <w:t xml:space="preserve"> authorities, practitioners and professionals </w:t>
      </w:r>
      <w:r w:rsidR="00022098" w:rsidRPr="00E124FF">
        <w:rPr>
          <w:rFonts w:ascii="Times New Roman" w:hAnsi="Times New Roman" w:cs="Times New Roman"/>
        </w:rPr>
        <w:t>on the expectation of the</w:t>
      </w:r>
      <w:r w:rsidR="00074A33" w:rsidRPr="00E124FF">
        <w:rPr>
          <w:rFonts w:ascii="Times New Roman" w:hAnsi="Times New Roman" w:cs="Times New Roman"/>
        </w:rPr>
        <w:t xml:space="preserve"> Family</w:t>
      </w:r>
      <w:r w:rsidR="00022098" w:rsidRPr="00E124FF">
        <w:rPr>
          <w:rFonts w:ascii="Times New Roman" w:hAnsi="Times New Roman" w:cs="Times New Roman"/>
        </w:rPr>
        <w:t xml:space="preserve"> </w:t>
      </w:r>
      <w:r w:rsidR="007908BA" w:rsidRPr="00E124FF">
        <w:rPr>
          <w:rFonts w:ascii="Times New Roman" w:hAnsi="Times New Roman" w:cs="Times New Roman"/>
        </w:rPr>
        <w:t>Court</w:t>
      </w:r>
      <w:r w:rsidR="00022098" w:rsidRPr="00E124FF">
        <w:rPr>
          <w:rFonts w:ascii="Times New Roman" w:hAnsi="Times New Roman" w:cs="Times New Roman"/>
        </w:rPr>
        <w:t xml:space="preserve"> in</w:t>
      </w:r>
      <w:r w:rsidR="000749BC">
        <w:rPr>
          <w:rFonts w:ascii="Times New Roman" w:hAnsi="Times New Roman" w:cs="Times New Roman"/>
        </w:rPr>
        <w:t xml:space="preserve"> the</w:t>
      </w:r>
      <w:r w:rsidR="00022098" w:rsidRPr="00E124FF">
        <w:rPr>
          <w:rFonts w:ascii="Times New Roman" w:hAnsi="Times New Roman" w:cs="Times New Roman"/>
        </w:rPr>
        <w:t xml:space="preserve"> South East </w:t>
      </w:r>
      <w:r w:rsidR="000749BC">
        <w:rPr>
          <w:rFonts w:ascii="Times New Roman" w:hAnsi="Times New Roman" w:cs="Times New Roman"/>
        </w:rPr>
        <w:t>Circuit (</w:t>
      </w:r>
      <w:r w:rsidR="007908BA" w:rsidRPr="00E124FF">
        <w:rPr>
          <w:rFonts w:ascii="Times New Roman" w:hAnsi="Times New Roman" w:cs="Times New Roman"/>
        </w:rPr>
        <w:t>South</w:t>
      </w:r>
      <w:r w:rsidR="000749BC">
        <w:rPr>
          <w:rFonts w:ascii="Times New Roman" w:hAnsi="Times New Roman" w:cs="Times New Roman"/>
        </w:rPr>
        <w:t>) (“SEC(S)”)</w:t>
      </w:r>
      <w:r w:rsidR="007908BA" w:rsidRPr="00E124FF">
        <w:rPr>
          <w:rFonts w:ascii="Times New Roman" w:hAnsi="Times New Roman" w:cs="Times New Roman"/>
        </w:rPr>
        <w:t>.</w:t>
      </w:r>
      <w:r w:rsidR="13B40169" w:rsidRPr="00E124FF">
        <w:rPr>
          <w:rFonts w:ascii="Times New Roman" w:hAnsi="Times New Roman" w:cs="Times New Roman"/>
        </w:rPr>
        <w:t xml:space="preserve"> It has been </w:t>
      </w:r>
      <w:r w:rsidR="0A4E32AA" w:rsidRPr="00E124FF">
        <w:rPr>
          <w:rFonts w:ascii="Times New Roman" w:hAnsi="Times New Roman" w:cs="Times New Roman"/>
        </w:rPr>
        <w:t xml:space="preserve">written by the </w:t>
      </w:r>
      <w:r w:rsidR="00074A33" w:rsidRPr="00E124FF">
        <w:rPr>
          <w:rFonts w:ascii="Times New Roman" w:hAnsi="Times New Roman" w:cs="Times New Roman"/>
        </w:rPr>
        <w:t xml:space="preserve">Family </w:t>
      </w:r>
      <w:r w:rsidR="0A4E32AA" w:rsidRPr="00E124FF">
        <w:rPr>
          <w:rFonts w:ascii="Times New Roman" w:hAnsi="Times New Roman" w:cs="Times New Roman"/>
        </w:rPr>
        <w:t>Presid</w:t>
      </w:r>
      <w:r w:rsidR="000749BC">
        <w:rPr>
          <w:rFonts w:ascii="Times New Roman" w:hAnsi="Times New Roman" w:cs="Times New Roman"/>
        </w:rPr>
        <w:t>ing Judge (“FPJ”)</w:t>
      </w:r>
      <w:r w:rsidR="00074A33" w:rsidRPr="00E124FF">
        <w:rPr>
          <w:rFonts w:ascii="Times New Roman" w:hAnsi="Times New Roman" w:cs="Times New Roman"/>
        </w:rPr>
        <w:t xml:space="preserve"> </w:t>
      </w:r>
      <w:r w:rsidR="008659B1">
        <w:rPr>
          <w:rFonts w:ascii="Times New Roman" w:hAnsi="Times New Roman" w:cs="Times New Roman"/>
        </w:rPr>
        <w:t xml:space="preserve">in collaboration </w:t>
      </w:r>
      <w:r w:rsidR="00B16324" w:rsidRPr="00E124FF">
        <w:rPr>
          <w:rFonts w:ascii="Times New Roman" w:hAnsi="Times New Roman" w:cs="Times New Roman"/>
        </w:rPr>
        <w:t>with</w:t>
      </w:r>
      <w:r w:rsidR="0A4E32AA" w:rsidRPr="00E124FF">
        <w:rPr>
          <w:rFonts w:ascii="Times New Roman" w:hAnsi="Times New Roman" w:cs="Times New Roman"/>
        </w:rPr>
        <w:t xml:space="preserve"> the D</w:t>
      </w:r>
      <w:r w:rsidR="000749BC">
        <w:rPr>
          <w:rFonts w:ascii="Times New Roman" w:hAnsi="Times New Roman" w:cs="Times New Roman"/>
        </w:rPr>
        <w:t xml:space="preserve">esignated </w:t>
      </w:r>
      <w:r w:rsidR="0A4E32AA" w:rsidRPr="00E124FF">
        <w:rPr>
          <w:rFonts w:ascii="Times New Roman" w:hAnsi="Times New Roman" w:cs="Times New Roman"/>
        </w:rPr>
        <w:t>F</w:t>
      </w:r>
      <w:r w:rsidR="000749BC">
        <w:rPr>
          <w:rFonts w:ascii="Times New Roman" w:hAnsi="Times New Roman" w:cs="Times New Roman"/>
        </w:rPr>
        <w:t xml:space="preserve">amily </w:t>
      </w:r>
      <w:r w:rsidR="0A4E32AA" w:rsidRPr="00E124FF">
        <w:rPr>
          <w:rFonts w:ascii="Times New Roman" w:hAnsi="Times New Roman" w:cs="Times New Roman"/>
        </w:rPr>
        <w:t>J</w:t>
      </w:r>
      <w:r w:rsidR="000749BC">
        <w:rPr>
          <w:rFonts w:ascii="Times New Roman" w:hAnsi="Times New Roman" w:cs="Times New Roman"/>
        </w:rPr>
        <w:t>udge</w:t>
      </w:r>
      <w:r w:rsidR="0A4E32AA" w:rsidRPr="00E124FF">
        <w:rPr>
          <w:rFonts w:ascii="Times New Roman" w:hAnsi="Times New Roman" w:cs="Times New Roman"/>
        </w:rPr>
        <w:t>s</w:t>
      </w:r>
      <w:r w:rsidR="000749BC">
        <w:rPr>
          <w:rFonts w:ascii="Times New Roman" w:hAnsi="Times New Roman" w:cs="Times New Roman"/>
        </w:rPr>
        <w:t xml:space="preserve"> (“DFJs”)</w:t>
      </w:r>
      <w:r w:rsidR="0A4E32AA" w:rsidRPr="00E124FF">
        <w:rPr>
          <w:rFonts w:ascii="Times New Roman" w:hAnsi="Times New Roman" w:cs="Times New Roman"/>
        </w:rPr>
        <w:t xml:space="preserve"> for</w:t>
      </w:r>
      <w:r w:rsidR="7AC4A0F1" w:rsidRPr="00E124FF">
        <w:rPr>
          <w:rFonts w:ascii="Times New Roman" w:hAnsi="Times New Roman" w:cs="Times New Roman"/>
        </w:rPr>
        <w:t xml:space="preserve"> Kent,</w:t>
      </w:r>
      <w:r w:rsidR="0A4E32AA" w:rsidRPr="00E124FF">
        <w:rPr>
          <w:rFonts w:ascii="Times New Roman" w:hAnsi="Times New Roman" w:cs="Times New Roman"/>
        </w:rPr>
        <w:t xml:space="preserve"> </w:t>
      </w:r>
      <w:r w:rsidR="2E735DFB" w:rsidRPr="00E124FF">
        <w:rPr>
          <w:rFonts w:ascii="Times New Roman" w:hAnsi="Times New Roman" w:cs="Times New Roman"/>
        </w:rPr>
        <w:t>Milton Keynes</w:t>
      </w:r>
      <w:r w:rsidR="008659B1">
        <w:rPr>
          <w:rFonts w:ascii="Times New Roman" w:hAnsi="Times New Roman" w:cs="Times New Roman"/>
        </w:rPr>
        <w:t xml:space="preserve"> &amp; Buckinghamshire</w:t>
      </w:r>
      <w:r w:rsidR="2E735DFB" w:rsidRPr="00E124FF">
        <w:rPr>
          <w:rFonts w:ascii="Times New Roman" w:hAnsi="Times New Roman" w:cs="Times New Roman"/>
        </w:rPr>
        <w:t>, Thames Valley</w:t>
      </w:r>
      <w:r w:rsidR="000749BC">
        <w:rPr>
          <w:rFonts w:ascii="Times New Roman" w:hAnsi="Times New Roman" w:cs="Times New Roman"/>
        </w:rPr>
        <w:t xml:space="preserve">, and </w:t>
      </w:r>
      <w:r w:rsidR="473E9F6B" w:rsidRPr="00E124FF">
        <w:rPr>
          <w:rFonts w:ascii="Times New Roman" w:hAnsi="Times New Roman" w:cs="Times New Roman"/>
        </w:rPr>
        <w:t xml:space="preserve">Surrey </w:t>
      </w:r>
      <w:r w:rsidR="008659B1">
        <w:rPr>
          <w:rFonts w:ascii="Times New Roman" w:hAnsi="Times New Roman" w:cs="Times New Roman"/>
        </w:rPr>
        <w:t xml:space="preserve">&amp; </w:t>
      </w:r>
      <w:r w:rsidR="473E9F6B" w:rsidRPr="00E124FF">
        <w:rPr>
          <w:rFonts w:ascii="Times New Roman" w:hAnsi="Times New Roman" w:cs="Times New Roman"/>
        </w:rPr>
        <w:t>Sussex</w:t>
      </w:r>
      <w:r w:rsidR="00074A33" w:rsidRPr="00E124FF">
        <w:rPr>
          <w:rFonts w:ascii="Times New Roman" w:hAnsi="Times New Roman" w:cs="Times New Roman"/>
        </w:rPr>
        <w:t xml:space="preserve">. It </w:t>
      </w:r>
      <w:r w:rsidR="473E9F6B" w:rsidRPr="00E124FF">
        <w:rPr>
          <w:rFonts w:ascii="Times New Roman" w:hAnsi="Times New Roman" w:cs="Times New Roman"/>
        </w:rPr>
        <w:t xml:space="preserve">is endorsed by each of them. </w:t>
      </w:r>
    </w:p>
    <w:p w14:paraId="4DD9736D" w14:textId="77777777" w:rsidR="00074A33" w:rsidRPr="00E124FF" w:rsidRDefault="00074A33" w:rsidP="00074A33">
      <w:pPr>
        <w:pStyle w:val="ListParagraph"/>
        <w:ind w:left="1080"/>
        <w:jc w:val="both"/>
        <w:rPr>
          <w:rFonts w:ascii="Times New Roman" w:hAnsi="Times New Roman" w:cs="Times New Roman"/>
        </w:rPr>
      </w:pPr>
    </w:p>
    <w:p w14:paraId="3DF2F94D" w14:textId="38069621" w:rsidR="00074A33" w:rsidRPr="00E124FF" w:rsidRDefault="00074A33" w:rsidP="00074A33">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This practice </w:t>
      </w:r>
      <w:r w:rsidR="00B16324" w:rsidRPr="00E124FF">
        <w:rPr>
          <w:rFonts w:ascii="Times New Roman" w:hAnsi="Times New Roman" w:cs="Times New Roman"/>
        </w:rPr>
        <w:t>note replaces</w:t>
      </w:r>
      <w:r w:rsidR="473E9F6B" w:rsidRPr="00E124FF">
        <w:rPr>
          <w:rFonts w:ascii="Times New Roman" w:hAnsi="Times New Roman" w:cs="Times New Roman"/>
        </w:rPr>
        <w:t xml:space="preserve"> all previous local practice </w:t>
      </w:r>
      <w:r w:rsidR="0EF91239" w:rsidRPr="00E124FF">
        <w:rPr>
          <w:rFonts w:ascii="Times New Roman" w:hAnsi="Times New Roman" w:cs="Times New Roman"/>
        </w:rPr>
        <w:t>directions</w:t>
      </w:r>
      <w:r w:rsidR="00B2334F">
        <w:rPr>
          <w:rFonts w:ascii="Times New Roman" w:hAnsi="Times New Roman" w:cs="Times New Roman"/>
        </w:rPr>
        <w:t xml:space="preserve"> </w:t>
      </w:r>
      <w:r w:rsidR="52402160" w:rsidRPr="00E124FF">
        <w:rPr>
          <w:rFonts w:ascii="Times New Roman" w:hAnsi="Times New Roman" w:cs="Times New Roman"/>
        </w:rPr>
        <w:t xml:space="preserve">that </w:t>
      </w:r>
      <w:r w:rsidR="3C0F0DE5" w:rsidRPr="00E124FF">
        <w:rPr>
          <w:rFonts w:ascii="Times New Roman" w:hAnsi="Times New Roman" w:cs="Times New Roman"/>
        </w:rPr>
        <w:t xml:space="preserve">have </w:t>
      </w:r>
      <w:r w:rsidRPr="00E124FF">
        <w:rPr>
          <w:rFonts w:ascii="Times New Roman" w:hAnsi="Times New Roman" w:cs="Times New Roman"/>
        </w:rPr>
        <w:t>developed in</w:t>
      </w:r>
      <w:r w:rsidR="698D12BC" w:rsidRPr="00E124FF">
        <w:rPr>
          <w:rFonts w:ascii="Times New Roman" w:hAnsi="Times New Roman" w:cs="Times New Roman"/>
        </w:rPr>
        <w:t xml:space="preserve"> relation </w:t>
      </w:r>
      <w:r w:rsidR="00B16324" w:rsidRPr="00E124FF">
        <w:rPr>
          <w:rFonts w:ascii="Times New Roman" w:hAnsi="Times New Roman" w:cs="Times New Roman"/>
        </w:rPr>
        <w:t xml:space="preserve">to </w:t>
      </w:r>
      <w:r w:rsidR="52402160" w:rsidRPr="00E124FF">
        <w:rPr>
          <w:rFonts w:ascii="Times New Roman" w:hAnsi="Times New Roman" w:cs="Times New Roman"/>
        </w:rPr>
        <w:t>public law proceedings</w:t>
      </w:r>
      <w:r w:rsidR="00B16324" w:rsidRPr="00E124FF">
        <w:rPr>
          <w:rFonts w:ascii="Times New Roman" w:hAnsi="Times New Roman" w:cs="Times New Roman"/>
        </w:rPr>
        <w:t xml:space="preserve"> in </w:t>
      </w:r>
      <w:r w:rsidR="000749BC">
        <w:rPr>
          <w:rFonts w:ascii="Times New Roman" w:hAnsi="Times New Roman" w:cs="Times New Roman"/>
        </w:rPr>
        <w:t>SEC(S)</w:t>
      </w:r>
      <w:r w:rsidR="52402160" w:rsidRPr="00E124FF">
        <w:rPr>
          <w:rFonts w:ascii="Times New Roman" w:hAnsi="Times New Roman" w:cs="Times New Roman"/>
        </w:rPr>
        <w:t>.</w:t>
      </w:r>
      <w:r w:rsidR="257DB660" w:rsidRPr="00E124FF">
        <w:rPr>
          <w:rFonts w:ascii="Times New Roman" w:hAnsi="Times New Roman" w:cs="Times New Roman"/>
        </w:rPr>
        <w:t xml:space="preserve"> </w:t>
      </w:r>
    </w:p>
    <w:p w14:paraId="5E03F8DB" w14:textId="77777777" w:rsidR="00074A33" w:rsidRPr="00E124FF" w:rsidRDefault="00074A33" w:rsidP="00074A33">
      <w:pPr>
        <w:pStyle w:val="ListParagraph"/>
        <w:ind w:left="1080"/>
        <w:jc w:val="both"/>
        <w:rPr>
          <w:rFonts w:ascii="Times New Roman" w:hAnsi="Times New Roman" w:cs="Times New Roman"/>
        </w:rPr>
      </w:pPr>
    </w:p>
    <w:p w14:paraId="5969B382" w14:textId="40FE0B1F" w:rsidR="00074A33" w:rsidRPr="00E124FF" w:rsidRDefault="00074A33" w:rsidP="00074A33">
      <w:pPr>
        <w:pStyle w:val="ListParagraph"/>
        <w:numPr>
          <w:ilvl w:val="0"/>
          <w:numId w:val="13"/>
        </w:numPr>
        <w:jc w:val="both"/>
        <w:rPr>
          <w:rFonts w:ascii="Times New Roman" w:hAnsi="Times New Roman" w:cs="Times New Roman"/>
        </w:rPr>
      </w:pPr>
      <w:r w:rsidRPr="00E124FF">
        <w:rPr>
          <w:rFonts w:ascii="Times New Roman" w:hAnsi="Times New Roman" w:cs="Times New Roman"/>
        </w:rPr>
        <w:t>The note is</w:t>
      </w:r>
      <w:r w:rsidR="257DB660" w:rsidRPr="00E124FF">
        <w:rPr>
          <w:rFonts w:ascii="Times New Roman" w:hAnsi="Times New Roman" w:cs="Times New Roman"/>
        </w:rPr>
        <w:t xml:space="preserve"> based on </w:t>
      </w:r>
      <w:r w:rsidRPr="00E124FF">
        <w:rPr>
          <w:rFonts w:ascii="Times New Roman" w:hAnsi="Times New Roman" w:cs="Times New Roman"/>
        </w:rPr>
        <w:t>the Public Law Outline (</w:t>
      </w:r>
      <w:r w:rsidR="000749BC">
        <w:rPr>
          <w:rFonts w:ascii="Times New Roman" w:hAnsi="Times New Roman" w:cs="Times New Roman"/>
        </w:rPr>
        <w:t>“</w:t>
      </w:r>
      <w:r w:rsidR="6C922D04" w:rsidRPr="00E124FF">
        <w:rPr>
          <w:rFonts w:ascii="Times New Roman" w:hAnsi="Times New Roman" w:cs="Times New Roman"/>
        </w:rPr>
        <w:t>PLO</w:t>
      </w:r>
      <w:r w:rsidR="000749BC">
        <w:rPr>
          <w:rFonts w:ascii="Times New Roman" w:hAnsi="Times New Roman" w:cs="Times New Roman"/>
        </w:rPr>
        <w:t>”</w:t>
      </w:r>
      <w:r w:rsidRPr="00E124FF">
        <w:rPr>
          <w:rFonts w:ascii="Times New Roman" w:hAnsi="Times New Roman" w:cs="Times New Roman"/>
        </w:rPr>
        <w:t>)</w:t>
      </w:r>
      <w:r w:rsidR="6C922D04" w:rsidRPr="00E124FF">
        <w:rPr>
          <w:rFonts w:ascii="Times New Roman" w:hAnsi="Times New Roman" w:cs="Times New Roman"/>
        </w:rPr>
        <w:t xml:space="preserve">, FPR </w:t>
      </w:r>
      <w:r w:rsidR="000749BC">
        <w:rPr>
          <w:rFonts w:ascii="Times New Roman" w:hAnsi="Times New Roman" w:cs="Times New Roman"/>
        </w:rPr>
        <w:t>rr.</w:t>
      </w:r>
      <w:r w:rsidR="6C922D04" w:rsidRPr="00E124FF">
        <w:rPr>
          <w:rFonts w:ascii="Times New Roman" w:hAnsi="Times New Roman" w:cs="Times New Roman"/>
        </w:rPr>
        <w:t>12</w:t>
      </w:r>
      <w:r w:rsidR="00411359" w:rsidRPr="00E124FF">
        <w:rPr>
          <w:rFonts w:ascii="Times New Roman" w:hAnsi="Times New Roman" w:cs="Times New Roman"/>
        </w:rPr>
        <w:t>.22-</w:t>
      </w:r>
      <w:r w:rsidR="009F5393" w:rsidRPr="00E124FF">
        <w:rPr>
          <w:rFonts w:ascii="Times New Roman" w:hAnsi="Times New Roman" w:cs="Times New Roman"/>
        </w:rPr>
        <w:t>30 and</w:t>
      </w:r>
      <w:r w:rsidR="257DB660" w:rsidRPr="00E124FF">
        <w:rPr>
          <w:rFonts w:ascii="Times New Roman" w:hAnsi="Times New Roman" w:cs="Times New Roman"/>
        </w:rPr>
        <w:t xml:space="preserve"> PD12A.</w:t>
      </w:r>
      <w:r w:rsidR="37909C26" w:rsidRPr="00E124FF">
        <w:rPr>
          <w:rFonts w:ascii="Times New Roman" w:hAnsi="Times New Roman" w:cs="Times New Roman"/>
        </w:rPr>
        <w:t xml:space="preserve"> </w:t>
      </w:r>
    </w:p>
    <w:p w14:paraId="47185818" w14:textId="77777777" w:rsidR="00074A33" w:rsidRPr="00E124FF" w:rsidRDefault="00074A33" w:rsidP="00074A33">
      <w:pPr>
        <w:pStyle w:val="ListParagraph"/>
        <w:rPr>
          <w:rFonts w:ascii="Times New Roman" w:hAnsi="Times New Roman" w:cs="Times New Roman"/>
        </w:rPr>
      </w:pPr>
    </w:p>
    <w:p w14:paraId="793A201A" w14:textId="7C202823" w:rsidR="00074A33" w:rsidRPr="00E124FF" w:rsidRDefault="00B16324" w:rsidP="00074A33">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All parties are required to help the court further the overriding objective – FPR </w:t>
      </w:r>
      <w:r w:rsidR="000749BC">
        <w:rPr>
          <w:rFonts w:ascii="Times New Roman" w:hAnsi="Times New Roman" w:cs="Times New Roman"/>
        </w:rPr>
        <w:t>r.</w:t>
      </w:r>
      <w:r w:rsidRPr="00E124FF">
        <w:rPr>
          <w:rFonts w:ascii="Times New Roman" w:hAnsi="Times New Roman" w:cs="Times New Roman"/>
        </w:rPr>
        <w:t>1.3</w:t>
      </w:r>
    </w:p>
    <w:p w14:paraId="2B56CF63" w14:textId="77777777" w:rsidR="00F35942" w:rsidRPr="00E124FF" w:rsidRDefault="00F35942" w:rsidP="00F35942">
      <w:pPr>
        <w:pStyle w:val="ListParagraph"/>
        <w:rPr>
          <w:rFonts w:ascii="Times New Roman" w:hAnsi="Times New Roman" w:cs="Times New Roman"/>
        </w:rPr>
      </w:pPr>
    </w:p>
    <w:p w14:paraId="2837101B" w14:textId="6B9A67AD" w:rsidR="00F35942" w:rsidRPr="00E124FF" w:rsidRDefault="00F35942" w:rsidP="00F35942">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All </w:t>
      </w:r>
      <w:r w:rsidR="000749BC">
        <w:rPr>
          <w:rFonts w:ascii="Times New Roman" w:hAnsi="Times New Roman" w:cs="Times New Roman"/>
        </w:rPr>
        <w:t xml:space="preserve">parties </w:t>
      </w:r>
      <w:r w:rsidRPr="00E124FF">
        <w:rPr>
          <w:rFonts w:ascii="Times New Roman" w:hAnsi="Times New Roman" w:cs="Times New Roman"/>
        </w:rPr>
        <w:t xml:space="preserve">are required to have regard to all other relevant rules and </w:t>
      </w:r>
      <w:r w:rsidR="000749BC">
        <w:rPr>
          <w:rFonts w:ascii="Times New Roman" w:hAnsi="Times New Roman" w:cs="Times New Roman"/>
        </w:rPr>
        <w:t>p</w:t>
      </w:r>
      <w:r w:rsidRPr="00E124FF">
        <w:rPr>
          <w:rFonts w:ascii="Times New Roman" w:hAnsi="Times New Roman" w:cs="Times New Roman"/>
        </w:rPr>
        <w:t xml:space="preserve">ractice </w:t>
      </w:r>
      <w:r w:rsidR="000749BC">
        <w:rPr>
          <w:rFonts w:ascii="Times New Roman" w:hAnsi="Times New Roman" w:cs="Times New Roman"/>
        </w:rPr>
        <w:t>d</w:t>
      </w:r>
      <w:r w:rsidRPr="00E124FF">
        <w:rPr>
          <w:rFonts w:ascii="Times New Roman" w:hAnsi="Times New Roman" w:cs="Times New Roman"/>
        </w:rPr>
        <w:t>irections as well</w:t>
      </w:r>
      <w:r w:rsidR="000749BC">
        <w:rPr>
          <w:rFonts w:ascii="Times New Roman" w:hAnsi="Times New Roman" w:cs="Times New Roman"/>
        </w:rPr>
        <w:t xml:space="preserve"> as</w:t>
      </w:r>
      <w:r w:rsidRPr="00E124FF">
        <w:rPr>
          <w:rFonts w:ascii="Times New Roman" w:hAnsi="Times New Roman" w:cs="Times New Roman"/>
        </w:rPr>
        <w:t xml:space="preserve"> the Guidance the President issues from time to time and Mr Justice Keehan’s </w:t>
      </w:r>
      <w:r w:rsidR="000749BC">
        <w:rPr>
          <w:rFonts w:ascii="Times New Roman" w:hAnsi="Times New Roman" w:cs="Times New Roman"/>
        </w:rPr>
        <w:t>‘</w:t>
      </w:r>
      <w:r w:rsidRPr="00E124FF">
        <w:rPr>
          <w:rFonts w:ascii="Times New Roman" w:hAnsi="Times New Roman" w:cs="Times New Roman"/>
        </w:rPr>
        <w:t>Ten Principles</w:t>
      </w:r>
      <w:r w:rsidR="000749BC">
        <w:rPr>
          <w:rFonts w:ascii="Times New Roman" w:hAnsi="Times New Roman" w:cs="Times New Roman"/>
        </w:rPr>
        <w:t>’</w:t>
      </w:r>
      <w:r w:rsidRPr="00E124FF">
        <w:rPr>
          <w:rStyle w:val="EndnoteReference"/>
          <w:rFonts w:ascii="Times New Roman" w:hAnsi="Times New Roman" w:cs="Times New Roman"/>
        </w:rPr>
        <w:endnoteReference w:id="1"/>
      </w:r>
      <w:r w:rsidRPr="00E124FF">
        <w:rPr>
          <w:rFonts w:ascii="Times New Roman" w:hAnsi="Times New Roman" w:cs="Times New Roman"/>
        </w:rPr>
        <w:t>.</w:t>
      </w:r>
    </w:p>
    <w:p w14:paraId="6B77C84B" w14:textId="77777777" w:rsidR="009F5393" w:rsidRPr="00E124FF" w:rsidRDefault="009F5393" w:rsidP="009F5393">
      <w:pPr>
        <w:pStyle w:val="ListParagraph"/>
        <w:jc w:val="both"/>
        <w:rPr>
          <w:rFonts w:ascii="Times New Roman" w:hAnsi="Times New Roman" w:cs="Times New Roman"/>
        </w:rPr>
      </w:pPr>
    </w:p>
    <w:p w14:paraId="366B52ED" w14:textId="380A7E9A" w:rsidR="00017D62" w:rsidRDefault="00B16324" w:rsidP="000749BC">
      <w:pPr>
        <w:pStyle w:val="ListParagraph"/>
        <w:ind w:left="0"/>
        <w:jc w:val="both"/>
        <w:rPr>
          <w:rFonts w:ascii="Times New Roman" w:hAnsi="Times New Roman" w:cs="Times New Roman"/>
          <w:b/>
          <w:bCs/>
          <w:i/>
          <w:iCs/>
        </w:rPr>
      </w:pPr>
      <w:r w:rsidRPr="00E124FF">
        <w:rPr>
          <w:rFonts w:ascii="Times New Roman" w:hAnsi="Times New Roman" w:cs="Times New Roman"/>
          <w:b/>
          <w:bCs/>
          <w:i/>
          <w:iCs/>
        </w:rPr>
        <w:t>The Public Law Outline</w:t>
      </w:r>
    </w:p>
    <w:p w14:paraId="12FFD88A" w14:textId="77777777" w:rsidR="000749BC" w:rsidRPr="00E124FF" w:rsidRDefault="000749BC" w:rsidP="000749BC">
      <w:pPr>
        <w:pStyle w:val="ListParagraph"/>
        <w:ind w:left="0"/>
        <w:jc w:val="both"/>
        <w:rPr>
          <w:rFonts w:ascii="Times New Roman" w:hAnsi="Times New Roman" w:cs="Times New Roman"/>
          <w:b/>
          <w:bCs/>
          <w:i/>
          <w:iCs/>
        </w:rPr>
      </w:pPr>
    </w:p>
    <w:p w14:paraId="57AE8A16" w14:textId="79C62A43" w:rsidR="00B16324" w:rsidRPr="00E124FF" w:rsidRDefault="00B16324"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It is vital that local authorities operate the PLO as it was intended.  </w:t>
      </w:r>
    </w:p>
    <w:p w14:paraId="5DF44F40" w14:textId="77777777" w:rsidR="00B16324" w:rsidRPr="00E124FF" w:rsidRDefault="00B16324" w:rsidP="00B16324">
      <w:pPr>
        <w:pStyle w:val="ListParagraph"/>
        <w:ind w:left="1080"/>
        <w:jc w:val="both"/>
        <w:rPr>
          <w:rFonts w:ascii="Times New Roman" w:hAnsi="Times New Roman" w:cs="Times New Roman"/>
        </w:rPr>
      </w:pPr>
    </w:p>
    <w:p w14:paraId="00913241" w14:textId="20109FCE" w:rsidR="00B16324" w:rsidRPr="00E124FF" w:rsidRDefault="00B16324"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The Public Law Working Group’s Final Report on Best Practice Guidance</w:t>
      </w:r>
      <w:r w:rsidR="000749BC">
        <w:rPr>
          <w:rFonts w:ascii="Times New Roman" w:hAnsi="Times New Roman" w:cs="Times New Roman"/>
        </w:rPr>
        <w:t xml:space="preserve"> - </w:t>
      </w:r>
      <w:r w:rsidRPr="00E124FF">
        <w:rPr>
          <w:rFonts w:ascii="Times New Roman" w:hAnsi="Times New Roman" w:cs="Times New Roman"/>
        </w:rPr>
        <w:t xml:space="preserve"> ‘Support for and Work with Families Prior to Court Proceedings’</w:t>
      </w:r>
      <w:r w:rsidR="000749BC">
        <w:rPr>
          <w:rFonts w:ascii="Times New Roman" w:hAnsi="Times New Roman" w:cs="Times New Roman"/>
        </w:rPr>
        <w:t xml:space="preserve"> - </w:t>
      </w:r>
      <w:r w:rsidRPr="00E124FF">
        <w:rPr>
          <w:rFonts w:ascii="Times New Roman" w:hAnsi="Times New Roman" w:cs="Times New Roman"/>
        </w:rPr>
        <w:t>must be followed.  When the family have been the subject of pre-proceedings, the evidence in support of the application must include</w:t>
      </w:r>
      <w:r w:rsidR="008659B1">
        <w:rPr>
          <w:rFonts w:ascii="Times New Roman" w:hAnsi="Times New Roman" w:cs="Times New Roman"/>
        </w:rPr>
        <w:t xml:space="preserve"> </w:t>
      </w:r>
      <w:r w:rsidR="000749BC">
        <w:rPr>
          <w:rFonts w:ascii="Times New Roman" w:hAnsi="Times New Roman" w:cs="Times New Roman"/>
        </w:rPr>
        <w:t xml:space="preserve">the </w:t>
      </w:r>
      <w:r w:rsidR="008659B1">
        <w:rPr>
          <w:rFonts w:ascii="Times New Roman" w:hAnsi="Times New Roman" w:cs="Times New Roman"/>
        </w:rPr>
        <w:t>completed pre-proceedings</w:t>
      </w:r>
      <w:r w:rsidRPr="00E124FF">
        <w:rPr>
          <w:rFonts w:ascii="Times New Roman" w:hAnsi="Times New Roman" w:cs="Times New Roman"/>
        </w:rPr>
        <w:t xml:space="preserve"> record</w:t>
      </w:r>
      <w:r w:rsidR="008659B1">
        <w:rPr>
          <w:rFonts w:ascii="Times New Roman" w:hAnsi="Times New Roman" w:cs="Times New Roman"/>
        </w:rPr>
        <w:t xml:space="preserve"> using</w:t>
      </w:r>
      <w:r w:rsidRPr="00E124FF">
        <w:rPr>
          <w:rFonts w:ascii="Times New Roman" w:hAnsi="Times New Roman" w:cs="Times New Roman"/>
        </w:rPr>
        <w:t xml:space="preserve"> the relevant template which must be uploaded onto the portal. This is essential to avoid duplication of assessments which have already taken place.</w:t>
      </w:r>
    </w:p>
    <w:p w14:paraId="5D419F95" w14:textId="77777777" w:rsidR="00B16324" w:rsidRDefault="00B16324" w:rsidP="00B16324">
      <w:pPr>
        <w:pStyle w:val="ListParagraph"/>
        <w:ind w:left="1080"/>
        <w:jc w:val="both"/>
        <w:rPr>
          <w:rFonts w:ascii="Times New Roman" w:hAnsi="Times New Roman" w:cs="Times New Roman"/>
        </w:rPr>
      </w:pPr>
    </w:p>
    <w:p w14:paraId="4CD85B17" w14:textId="77777777" w:rsidR="00D63873" w:rsidRDefault="00D63873" w:rsidP="00B16324">
      <w:pPr>
        <w:pStyle w:val="ListParagraph"/>
        <w:ind w:left="1080"/>
        <w:jc w:val="both"/>
        <w:rPr>
          <w:rFonts w:ascii="Times New Roman" w:hAnsi="Times New Roman" w:cs="Times New Roman"/>
        </w:rPr>
      </w:pPr>
    </w:p>
    <w:p w14:paraId="51BDDA2E" w14:textId="77777777" w:rsidR="00D63873" w:rsidRPr="00E124FF" w:rsidRDefault="00D63873" w:rsidP="00B16324">
      <w:pPr>
        <w:pStyle w:val="ListParagraph"/>
        <w:ind w:left="1080"/>
        <w:jc w:val="both"/>
        <w:rPr>
          <w:rFonts w:ascii="Times New Roman" w:hAnsi="Times New Roman" w:cs="Times New Roman"/>
        </w:rPr>
      </w:pPr>
    </w:p>
    <w:p w14:paraId="39940B45" w14:textId="72105C1D" w:rsidR="00B16324" w:rsidRPr="00E124FF" w:rsidRDefault="00B16324" w:rsidP="000749BC">
      <w:pPr>
        <w:pStyle w:val="ListParagraph"/>
        <w:numPr>
          <w:ilvl w:val="0"/>
          <w:numId w:val="13"/>
        </w:numPr>
        <w:spacing w:after="0"/>
        <w:jc w:val="both"/>
        <w:rPr>
          <w:rFonts w:ascii="Times New Roman" w:hAnsi="Times New Roman" w:cs="Times New Roman"/>
        </w:rPr>
      </w:pPr>
      <w:r w:rsidRPr="00E124FF">
        <w:rPr>
          <w:rFonts w:ascii="Times New Roman" w:hAnsi="Times New Roman" w:cs="Times New Roman"/>
        </w:rPr>
        <w:lastRenderedPageBreak/>
        <w:t>When a case is issued:</w:t>
      </w:r>
    </w:p>
    <w:p w14:paraId="09B19A11" w14:textId="77777777" w:rsidR="000749BC" w:rsidRPr="000749BC" w:rsidRDefault="000749BC" w:rsidP="000749BC">
      <w:pPr>
        <w:spacing w:after="0"/>
        <w:ind w:left="1440"/>
        <w:jc w:val="both"/>
        <w:rPr>
          <w:rFonts w:ascii="Times New Roman" w:hAnsi="Times New Roman" w:cs="Times New Roman"/>
        </w:rPr>
      </w:pPr>
    </w:p>
    <w:p w14:paraId="7F8129D5" w14:textId="38CF7468" w:rsidR="00B16324" w:rsidRDefault="00B16324" w:rsidP="000749BC">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 xml:space="preserve">A properly pleaded and evidenced Threshold Document, fully compliant with </w:t>
      </w:r>
      <w:r w:rsidRPr="00F25CBE">
        <w:rPr>
          <w:rFonts w:ascii="Times New Roman" w:hAnsi="Times New Roman" w:cs="Times New Roman"/>
          <w:i/>
          <w:iCs/>
          <w:u w:val="single"/>
        </w:rPr>
        <w:t>Re A (A Child)</w:t>
      </w:r>
      <w:r w:rsidRPr="00F25CBE">
        <w:rPr>
          <w:rFonts w:ascii="Times New Roman" w:hAnsi="Times New Roman" w:cs="Times New Roman"/>
          <w:u w:val="single"/>
        </w:rPr>
        <w:t xml:space="preserve"> 2015 EWFC 11</w:t>
      </w:r>
      <w:r w:rsidRPr="00E124FF">
        <w:rPr>
          <w:rFonts w:ascii="Times New Roman" w:hAnsi="Times New Roman" w:cs="Times New Roman"/>
        </w:rPr>
        <w:t>, must be filed.</w:t>
      </w:r>
    </w:p>
    <w:p w14:paraId="70B90093" w14:textId="77777777" w:rsidR="00B16324" w:rsidRPr="00E124FF" w:rsidRDefault="00B16324" w:rsidP="000749BC">
      <w:pPr>
        <w:pStyle w:val="ListParagraph"/>
        <w:spacing w:after="0"/>
        <w:ind w:left="1800"/>
        <w:jc w:val="both"/>
        <w:rPr>
          <w:rFonts w:ascii="Times New Roman" w:hAnsi="Times New Roman" w:cs="Times New Roman"/>
        </w:rPr>
      </w:pPr>
    </w:p>
    <w:p w14:paraId="7F7BD79B" w14:textId="77777777" w:rsidR="00B16324" w:rsidRPr="00E124FF" w:rsidRDefault="00B16324" w:rsidP="000749BC">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Recent parenting assessments will stand as the parenting assessments in the proceedings unless there are necessary and cogent reasons that they should not.</w:t>
      </w:r>
    </w:p>
    <w:p w14:paraId="4D0B58A8" w14:textId="77777777" w:rsidR="00B16324" w:rsidRPr="00E124FF" w:rsidRDefault="00B16324" w:rsidP="000749BC">
      <w:pPr>
        <w:pStyle w:val="ListParagraph"/>
        <w:spacing w:after="0"/>
        <w:rPr>
          <w:rFonts w:ascii="Times New Roman" w:hAnsi="Times New Roman" w:cs="Times New Roman"/>
        </w:rPr>
      </w:pPr>
    </w:p>
    <w:p w14:paraId="1235EA95" w14:textId="4EC80FBD" w:rsidR="00B16324" w:rsidRPr="00E124FF" w:rsidRDefault="00B16324" w:rsidP="000749BC">
      <w:pPr>
        <w:pStyle w:val="ListParagraph"/>
        <w:numPr>
          <w:ilvl w:val="1"/>
          <w:numId w:val="13"/>
        </w:numPr>
        <w:jc w:val="both"/>
        <w:rPr>
          <w:rFonts w:ascii="Times New Roman" w:hAnsi="Times New Roman" w:cs="Times New Roman"/>
        </w:rPr>
      </w:pPr>
      <w:r w:rsidRPr="00E124FF">
        <w:rPr>
          <w:rFonts w:ascii="Times New Roman" w:hAnsi="Times New Roman" w:cs="Times New Roman"/>
        </w:rPr>
        <w:t>Proceedings</w:t>
      </w:r>
      <w:r w:rsidR="008659B1">
        <w:rPr>
          <w:rFonts w:ascii="Times New Roman" w:hAnsi="Times New Roman" w:cs="Times New Roman"/>
        </w:rPr>
        <w:t xml:space="preserve"> must</w:t>
      </w:r>
      <w:r w:rsidRPr="00E124FF">
        <w:rPr>
          <w:rFonts w:ascii="Times New Roman" w:hAnsi="Times New Roman" w:cs="Times New Roman"/>
        </w:rPr>
        <w:t xml:space="preserve"> be issued promptly after a decision has been taken to issue. </w:t>
      </w:r>
    </w:p>
    <w:p w14:paraId="60C6457C" w14:textId="2E28769B" w:rsidR="6E02F1F1" w:rsidRPr="000749BC" w:rsidRDefault="00B16324" w:rsidP="000749BC">
      <w:pPr>
        <w:jc w:val="both"/>
        <w:rPr>
          <w:rFonts w:ascii="Times New Roman" w:hAnsi="Times New Roman" w:cs="Times New Roman"/>
          <w:b/>
          <w:bCs/>
          <w:i/>
          <w:iCs/>
        </w:rPr>
      </w:pPr>
      <w:r w:rsidRPr="000749BC">
        <w:rPr>
          <w:rFonts w:ascii="Times New Roman" w:hAnsi="Times New Roman" w:cs="Times New Roman"/>
          <w:b/>
          <w:bCs/>
          <w:i/>
          <w:iCs/>
        </w:rPr>
        <w:t xml:space="preserve">Urgent Hearings </w:t>
      </w:r>
    </w:p>
    <w:p w14:paraId="16834400" w14:textId="73C4823C" w:rsidR="00D8311C" w:rsidRDefault="739F4C60" w:rsidP="00B565DE">
      <w:pPr>
        <w:pStyle w:val="ListParagraph"/>
        <w:numPr>
          <w:ilvl w:val="0"/>
          <w:numId w:val="13"/>
        </w:numPr>
        <w:jc w:val="both"/>
        <w:rPr>
          <w:rFonts w:ascii="Times New Roman" w:hAnsi="Times New Roman" w:cs="Times New Roman"/>
        </w:rPr>
      </w:pPr>
      <w:r w:rsidRPr="008659B1">
        <w:rPr>
          <w:rFonts w:ascii="Times New Roman" w:hAnsi="Times New Roman" w:cs="Times New Roman"/>
        </w:rPr>
        <w:t xml:space="preserve">An urgent hearing may be required before the </w:t>
      </w:r>
      <w:r w:rsidR="008659B1" w:rsidRPr="008659B1">
        <w:rPr>
          <w:rFonts w:ascii="Times New Roman" w:hAnsi="Times New Roman" w:cs="Times New Roman"/>
        </w:rPr>
        <w:t>Case Management Hearing (</w:t>
      </w:r>
      <w:r w:rsidR="000749BC">
        <w:rPr>
          <w:rFonts w:ascii="Times New Roman" w:hAnsi="Times New Roman" w:cs="Times New Roman"/>
        </w:rPr>
        <w:t>“F</w:t>
      </w:r>
      <w:r w:rsidR="5090B7F5" w:rsidRPr="008659B1">
        <w:rPr>
          <w:rFonts w:ascii="Times New Roman" w:hAnsi="Times New Roman" w:cs="Times New Roman"/>
        </w:rPr>
        <w:t>CMH</w:t>
      </w:r>
      <w:r w:rsidR="000749BC">
        <w:rPr>
          <w:rFonts w:ascii="Times New Roman" w:hAnsi="Times New Roman" w:cs="Times New Roman"/>
        </w:rPr>
        <w:t>/CMH”</w:t>
      </w:r>
      <w:r w:rsidR="008659B1" w:rsidRPr="008659B1">
        <w:rPr>
          <w:rFonts w:ascii="Times New Roman" w:hAnsi="Times New Roman" w:cs="Times New Roman"/>
        </w:rPr>
        <w:t>)</w:t>
      </w:r>
      <w:r w:rsidR="008659B1">
        <w:rPr>
          <w:rFonts w:ascii="Times New Roman" w:hAnsi="Times New Roman" w:cs="Times New Roman"/>
        </w:rPr>
        <w:t>.</w:t>
      </w:r>
    </w:p>
    <w:p w14:paraId="613EE7E1" w14:textId="77777777" w:rsidR="008659B1" w:rsidRPr="008659B1" w:rsidRDefault="008659B1" w:rsidP="008659B1">
      <w:pPr>
        <w:pStyle w:val="ListParagraph"/>
        <w:ind w:left="1080"/>
        <w:jc w:val="both"/>
        <w:rPr>
          <w:rFonts w:ascii="Times New Roman" w:hAnsi="Times New Roman" w:cs="Times New Roman"/>
        </w:rPr>
      </w:pPr>
    </w:p>
    <w:p w14:paraId="21795091" w14:textId="5EE5079B" w:rsidR="00D8311C" w:rsidRPr="00E124FF" w:rsidRDefault="00D8311C" w:rsidP="00D8311C">
      <w:pPr>
        <w:pStyle w:val="ListParagraph"/>
        <w:numPr>
          <w:ilvl w:val="0"/>
          <w:numId w:val="13"/>
        </w:numPr>
        <w:rPr>
          <w:rFonts w:ascii="Times New Roman" w:hAnsi="Times New Roman" w:cs="Times New Roman"/>
        </w:rPr>
      </w:pPr>
      <w:r w:rsidRPr="00E124FF">
        <w:rPr>
          <w:rFonts w:ascii="Times New Roman" w:hAnsi="Times New Roman" w:cs="Times New Roman"/>
        </w:rPr>
        <w:t>Urgent hearings must not delay the CMH</w:t>
      </w:r>
      <w:r w:rsidR="000749BC">
        <w:rPr>
          <w:rFonts w:ascii="Times New Roman" w:hAnsi="Times New Roman" w:cs="Times New Roman"/>
        </w:rPr>
        <w:t>,</w:t>
      </w:r>
      <w:r w:rsidRPr="00E124FF">
        <w:rPr>
          <w:rFonts w:ascii="Times New Roman" w:hAnsi="Times New Roman" w:cs="Times New Roman"/>
        </w:rPr>
        <w:t xml:space="preserve"> which must be listed as soon as the proceedings are issued.</w:t>
      </w:r>
    </w:p>
    <w:p w14:paraId="28D3B0AA" w14:textId="62DF7ADE" w:rsidR="00D8311C" w:rsidRPr="00E124FF" w:rsidRDefault="00D8311C" w:rsidP="00D8311C">
      <w:pPr>
        <w:pStyle w:val="ListParagraph"/>
        <w:ind w:left="1080"/>
        <w:jc w:val="both"/>
        <w:rPr>
          <w:rFonts w:ascii="Times New Roman" w:hAnsi="Times New Roman" w:cs="Times New Roman"/>
        </w:rPr>
      </w:pPr>
    </w:p>
    <w:p w14:paraId="46E881AA" w14:textId="426510EF" w:rsidR="6EFF2732" w:rsidRPr="00E124FF" w:rsidRDefault="5BB2E8BF"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Paragraph</w:t>
      </w:r>
      <w:r w:rsidR="739F4C60" w:rsidRPr="00E124FF">
        <w:rPr>
          <w:rFonts w:ascii="Times New Roman" w:hAnsi="Times New Roman" w:cs="Times New Roman"/>
        </w:rPr>
        <w:t xml:space="preserve"> 2.</w:t>
      </w:r>
      <w:r w:rsidR="7BEAC004" w:rsidRPr="00E124FF">
        <w:rPr>
          <w:rFonts w:ascii="Times New Roman" w:hAnsi="Times New Roman" w:cs="Times New Roman"/>
        </w:rPr>
        <w:t>4</w:t>
      </w:r>
      <w:r w:rsidR="739F4C60" w:rsidRPr="00E124FF">
        <w:rPr>
          <w:rFonts w:ascii="Times New Roman" w:hAnsi="Times New Roman" w:cs="Times New Roman"/>
        </w:rPr>
        <w:t xml:space="preserve"> of the PLO </w:t>
      </w:r>
      <w:r w:rsidR="37C90914" w:rsidRPr="00E124FF">
        <w:rPr>
          <w:rFonts w:ascii="Times New Roman" w:hAnsi="Times New Roman" w:cs="Times New Roman"/>
        </w:rPr>
        <w:t>s</w:t>
      </w:r>
      <w:r w:rsidR="739F4C60" w:rsidRPr="00E124FF">
        <w:rPr>
          <w:rFonts w:ascii="Times New Roman" w:hAnsi="Times New Roman" w:cs="Times New Roman"/>
        </w:rPr>
        <w:t xml:space="preserve">tates as </w:t>
      </w:r>
      <w:r w:rsidR="008659B1" w:rsidRPr="00E124FF">
        <w:rPr>
          <w:rFonts w:ascii="Times New Roman" w:hAnsi="Times New Roman" w:cs="Times New Roman"/>
        </w:rPr>
        <w:t>follows:</w:t>
      </w:r>
    </w:p>
    <w:p w14:paraId="49212B7A" w14:textId="506F42A7" w:rsidR="6E02F1F1" w:rsidRPr="00E124FF" w:rsidRDefault="6E02F1F1" w:rsidP="6E02F1F1">
      <w:pPr>
        <w:pStyle w:val="ListParagraph"/>
        <w:jc w:val="both"/>
        <w:rPr>
          <w:rFonts w:ascii="Times New Roman" w:hAnsi="Times New Roman" w:cs="Times New Roman"/>
        </w:rPr>
      </w:pPr>
    </w:p>
    <w:p w14:paraId="1E88FD76" w14:textId="3AE1CEC9" w:rsidR="330C8AEC" w:rsidRPr="00E124FF" w:rsidRDefault="330C8AEC" w:rsidP="000749BC">
      <w:pPr>
        <w:pStyle w:val="ListParagraph"/>
        <w:ind w:left="1440"/>
        <w:jc w:val="both"/>
        <w:rPr>
          <w:rFonts w:ascii="Times New Roman" w:hAnsi="Times New Roman" w:cs="Times New Roman"/>
        </w:rPr>
      </w:pPr>
      <w:r w:rsidRPr="00E124FF">
        <w:rPr>
          <w:rFonts w:ascii="Times New Roman" w:hAnsi="Times New Roman" w:cs="Times New Roman"/>
          <w:i/>
          <w:iCs/>
        </w:rPr>
        <w:t>Where a party has requested an urgent hearing a) to enable the court to give immediate directions or orders to facilitate any case management issue which is to be considered at the CMH, or b) to decide whether an ICO is necessary, the court may list such a hearing at any appropriate time before the CMH and give directions for that hearing. It is anticipated that an urgent preliminary case management hearing will only be necessary to consider issues such as jurisdiction, parentage, party status, capacity to litigate, disclosure and whether there is, or should be, a request to a Central Authority or other competent authority in a foreign state or consular authority in England and Wales in an international case. It is not intended that any urgent hearing will delay the CMH</w:t>
      </w:r>
      <w:r w:rsidRPr="00E124FF">
        <w:rPr>
          <w:rFonts w:ascii="Times New Roman" w:hAnsi="Times New Roman" w:cs="Times New Roman"/>
        </w:rPr>
        <w:t>.</w:t>
      </w:r>
    </w:p>
    <w:p w14:paraId="723514B1" w14:textId="77777777" w:rsidR="00D3070A" w:rsidRPr="00E124FF" w:rsidRDefault="00D3070A" w:rsidP="6E02F1F1">
      <w:pPr>
        <w:pStyle w:val="ListParagraph"/>
        <w:jc w:val="both"/>
        <w:rPr>
          <w:rFonts w:ascii="Times New Roman" w:hAnsi="Times New Roman" w:cs="Times New Roman"/>
        </w:rPr>
      </w:pPr>
    </w:p>
    <w:p w14:paraId="7A7CF7D3" w14:textId="77777777" w:rsidR="008659B1" w:rsidRPr="00E124FF" w:rsidRDefault="008659B1" w:rsidP="008659B1">
      <w:pPr>
        <w:pStyle w:val="ListParagraph"/>
        <w:numPr>
          <w:ilvl w:val="0"/>
          <w:numId w:val="13"/>
        </w:numPr>
        <w:jc w:val="both"/>
        <w:rPr>
          <w:rFonts w:ascii="Times New Roman" w:hAnsi="Times New Roman" w:cs="Times New Roman"/>
        </w:rPr>
      </w:pPr>
      <w:r w:rsidRPr="00E124FF">
        <w:rPr>
          <w:rFonts w:ascii="Times New Roman" w:hAnsi="Times New Roman" w:cs="Times New Roman"/>
        </w:rPr>
        <w:t>Urgent hearings must have a genuinely urgent issue which needs the court’s determination.</w:t>
      </w:r>
    </w:p>
    <w:p w14:paraId="273C4F24" w14:textId="77777777" w:rsidR="008659B1" w:rsidRPr="00E124FF" w:rsidRDefault="008659B1" w:rsidP="008659B1">
      <w:pPr>
        <w:pStyle w:val="ListParagraph"/>
        <w:rPr>
          <w:rFonts w:ascii="Times New Roman" w:hAnsi="Times New Roman" w:cs="Times New Roman"/>
        </w:rPr>
      </w:pPr>
    </w:p>
    <w:p w14:paraId="4FB4EAB9" w14:textId="77777777" w:rsidR="008659B1" w:rsidRPr="00E124FF" w:rsidRDefault="008659B1" w:rsidP="008659B1">
      <w:pPr>
        <w:pStyle w:val="ListParagraph"/>
        <w:numPr>
          <w:ilvl w:val="0"/>
          <w:numId w:val="13"/>
        </w:numPr>
        <w:jc w:val="both"/>
        <w:rPr>
          <w:rFonts w:ascii="Times New Roman" w:hAnsi="Times New Roman" w:cs="Times New Roman"/>
        </w:rPr>
      </w:pPr>
      <w:r w:rsidRPr="00E124FF">
        <w:rPr>
          <w:rFonts w:ascii="Times New Roman" w:hAnsi="Times New Roman" w:cs="Times New Roman"/>
        </w:rPr>
        <w:t>When listed, the urgent hearing must be used purposefully and for the reason it was listed</w:t>
      </w:r>
      <w:r>
        <w:rPr>
          <w:rFonts w:ascii="Times New Roman" w:hAnsi="Times New Roman" w:cs="Times New Roman"/>
        </w:rPr>
        <w:t>.</w:t>
      </w:r>
    </w:p>
    <w:p w14:paraId="56FB1C63" w14:textId="77777777" w:rsidR="008659B1" w:rsidRDefault="008659B1" w:rsidP="008659B1">
      <w:pPr>
        <w:pStyle w:val="ListParagraph"/>
        <w:ind w:left="1080"/>
        <w:jc w:val="both"/>
        <w:rPr>
          <w:rFonts w:ascii="Times New Roman" w:hAnsi="Times New Roman" w:cs="Times New Roman"/>
        </w:rPr>
      </w:pPr>
    </w:p>
    <w:p w14:paraId="27BDB45B" w14:textId="43A61EDF" w:rsidR="00D8311C" w:rsidRPr="00E124FF" w:rsidRDefault="000B4278"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court will be rigorous in policing the question of urgency.  </w:t>
      </w:r>
    </w:p>
    <w:p w14:paraId="6F99AE66" w14:textId="77777777" w:rsidR="00D8311C" w:rsidRPr="00E124FF" w:rsidRDefault="00D8311C" w:rsidP="00D8311C">
      <w:pPr>
        <w:pStyle w:val="ListParagraph"/>
        <w:ind w:left="1080"/>
        <w:jc w:val="both"/>
        <w:rPr>
          <w:rFonts w:ascii="Times New Roman" w:hAnsi="Times New Roman" w:cs="Times New Roman"/>
        </w:rPr>
      </w:pPr>
    </w:p>
    <w:p w14:paraId="1D847088" w14:textId="771E105C" w:rsidR="00D8311C" w:rsidRPr="00E124FF" w:rsidRDefault="000B4278"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court will </w:t>
      </w:r>
      <w:r w:rsidR="00D8311C" w:rsidRPr="00E124FF">
        <w:rPr>
          <w:rFonts w:ascii="Times New Roman" w:hAnsi="Times New Roman" w:cs="Times New Roman"/>
        </w:rPr>
        <w:t>adhere to</w:t>
      </w:r>
      <w:r w:rsidRPr="00E124FF">
        <w:rPr>
          <w:rFonts w:ascii="Times New Roman" w:hAnsi="Times New Roman" w:cs="Times New Roman"/>
        </w:rPr>
        <w:t xml:space="preserve"> </w:t>
      </w:r>
      <w:r w:rsidR="008659B1" w:rsidRPr="00E124FF">
        <w:rPr>
          <w:rFonts w:ascii="Times New Roman" w:hAnsi="Times New Roman" w:cs="Times New Roman"/>
        </w:rPr>
        <w:t xml:space="preserve">the </w:t>
      </w:r>
      <w:r w:rsidR="008659B1">
        <w:rPr>
          <w:rFonts w:ascii="Times New Roman" w:hAnsi="Times New Roman" w:cs="Times New Roman"/>
        </w:rPr>
        <w:t xml:space="preserve">attached </w:t>
      </w:r>
      <w:r w:rsidR="00915116">
        <w:rPr>
          <w:rFonts w:ascii="Times New Roman" w:hAnsi="Times New Roman" w:cs="Times New Roman"/>
        </w:rPr>
        <w:t>L</w:t>
      </w:r>
      <w:r w:rsidRPr="00E124FF">
        <w:rPr>
          <w:rFonts w:ascii="Times New Roman" w:hAnsi="Times New Roman" w:cs="Times New Roman"/>
        </w:rPr>
        <w:t xml:space="preserve">ocal Practice </w:t>
      </w:r>
      <w:r w:rsidR="008659B1" w:rsidRPr="00E124FF">
        <w:rPr>
          <w:rFonts w:ascii="Times New Roman" w:hAnsi="Times New Roman" w:cs="Times New Roman"/>
        </w:rPr>
        <w:t>Direction on</w:t>
      </w:r>
      <w:r w:rsidRPr="00E124FF">
        <w:rPr>
          <w:rFonts w:ascii="Times New Roman" w:hAnsi="Times New Roman" w:cs="Times New Roman"/>
        </w:rPr>
        <w:t xml:space="preserve"> urgent hearings</w:t>
      </w:r>
      <w:r w:rsidR="00267DAE" w:rsidRPr="00E124FF">
        <w:rPr>
          <w:rStyle w:val="EndnoteReference"/>
          <w:rFonts w:ascii="Times New Roman" w:hAnsi="Times New Roman" w:cs="Times New Roman"/>
        </w:rPr>
        <w:endnoteReference w:id="2"/>
      </w:r>
      <w:r w:rsidRPr="00E124FF">
        <w:rPr>
          <w:rFonts w:ascii="Times New Roman" w:hAnsi="Times New Roman" w:cs="Times New Roman"/>
        </w:rPr>
        <w:t xml:space="preserve">. </w:t>
      </w:r>
    </w:p>
    <w:p w14:paraId="7CDDD3CA" w14:textId="77777777" w:rsidR="00D8311C" w:rsidRPr="00E124FF" w:rsidRDefault="00D8311C" w:rsidP="00D8311C">
      <w:pPr>
        <w:pStyle w:val="ListParagraph"/>
        <w:rPr>
          <w:rFonts w:ascii="Times New Roman" w:hAnsi="Times New Roman" w:cs="Times New Roman"/>
        </w:rPr>
      </w:pPr>
    </w:p>
    <w:p w14:paraId="15896ECB" w14:textId="77777777" w:rsidR="00D8311C" w:rsidRPr="00E124FF" w:rsidRDefault="000B4278"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Where an application is not, in fact, demonstrably urgent, the court will refuse to hear it as such, and it will be listed with a fixture in the ordinary way. </w:t>
      </w:r>
    </w:p>
    <w:p w14:paraId="546C0BC8" w14:textId="77777777" w:rsidR="00D8311C" w:rsidRPr="00E124FF" w:rsidRDefault="00D8311C" w:rsidP="00D8311C">
      <w:pPr>
        <w:pStyle w:val="ListParagraph"/>
        <w:rPr>
          <w:rFonts w:ascii="Times New Roman" w:hAnsi="Times New Roman" w:cs="Times New Roman"/>
        </w:rPr>
      </w:pPr>
    </w:p>
    <w:p w14:paraId="73AF02A4" w14:textId="61A5547F" w:rsidR="00A94445" w:rsidRPr="00E124FF" w:rsidRDefault="000B4278"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It is not possible to circumvent the requirements of the </w:t>
      </w:r>
      <w:r w:rsidR="008659B1">
        <w:rPr>
          <w:rFonts w:ascii="Times New Roman" w:hAnsi="Times New Roman" w:cs="Times New Roman"/>
        </w:rPr>
        <w:t>L</w:t>
      </w:r>
      <w:r w:rsidRPr="00E124FF">
        <w:rPr>
          <w:rFonts w:ascii="Times New Roman" w:hAnsi="Times New Roman" w:cs="Times New Roman"/>
        </w:rPr>
        <w:t xml:space="preserve">ocal Practice Direction by, for example, requesting the listing of a hearing in </w:t>
      </w:r>
      <w:r w:rsidR="008659B1" w:rsidRPr="00E124FF">
        <w:rPr>
          <w:rFonts w:ascii="Times New Roman" w:hAnsi="Times New Roman" w:cs="Times New Roman"/>
        </w:rPr>
        <w:t>several</w:t>
      </w:r>
      <w:r w:rsidRPr="00E124FF">
        <w:rPr>
          <w:rFonts w:ascii="Times New Roman" w:hAnsi="Times New Roman" w:cs="Times New Roman"/>
        </w:rPr>
        <w:t xml:space="preserve"> </w:t>
      </w:r>
      <w:r w:rsidR="008659B1" w:rsidRPr="00E124FF">
        <w:rPr>
          <w:rFonts w:ascii="Times New Roman" w:hAnsi="Times New Roman" w:cs="Times New Roman"/>
        </w:rPr>
        <w:t>days’ time</w:t>
      </w:r>
      <w:r w:rsidRPr="00E124FF">
        <w:rPr>
          <w:rFonts w:ascii="Times New Roman" w:hAnsi="Times New Roman" w:cs="Times New Roman"/>
        </w:rPr>
        <w:t xml:space="preserve"> in a case that does not otherwise </w:t>
      </w:r>
      <w:r w:rsidR="00536367" w:rsidRPr="00E124FF">
        <w:rPr>
          <w:rFonts w:ascii="Times New Roman" w:hAnsi="Times New Roman" w:cs="Times New Roman"/>
        </w:rPr>
        <w:t>meet</w:t>
      </w:r>
      <w:r w:rsidRPr="00E124FF">
        <w:rPr>
          <w:rFonts w:ascii="Times New Roman" w:hAnsi="Times New Roman" w:cs="Times New Roman"/>
        </w:rPr>
        <w:t xml:space="preserve"> the criteria for urgency in the Practice Direction. </w:t>
      </w:r>
    </w:p>
    <w:p w14:paraId="2719434E" w14:textId="77777777" w:rsidR="001A0C26" w:rsidRDefault="001A0C26" w:rsidP="00F25CBE">
      <w:pPr>
        <w:pStyle w:val="ListParagraph"/>
        <w:ind w:left="0"/>
        <w:rPr>
          <w:rFonts w:ascii="Times New Roman" w:hAnsi="Times New Roman" w:cs="Times New Roman"/>
          <w:b/>
          <w:bCs/>
          <w:i/>
          <w:iCs/>
        </w:rPr>
      </w:pPr>
    </w:p>
    <w:p w14:paraId="1C0535F5" w14:textId="3429150C" w:rsidR="00A94445" w:rsidRDefault="00A94445" w:rsidP="00F25CBE">
      <w:pPr>
        <w:pStyle w:val="ListParagraph"/>
        <w:ind w:left="0"/>
        <w:rPr>
          <w:rFonts w:ascii="Times New Roman" w:hAnsi="Times New Roman" w:cs="Times New Roman"/>
          <w:b/>
          <w:bCs/>
          <w:i/>
          <w:iCs/>
        </w:rPr>
      </w:pPr>
      <w:r w:rsidRPr="00E124FF">
        <w:rPr>
          <w:rFonts w:ascii="Times New Roman" w:hAnsi="Times New Roman" w:cs="Times New Roman"/>
          <w:b/>
          <w:bCs/>
          <w:i/>
          <w:iCs/>
        </w:rPr>
        <w:t>Hearings -</w:t>
      </w:r>
      <w:r w:rsidR="00F25CBE">
        <w:rPr>
          <w:rFonts w:ascii="Times New Roman" w:hAnsi="Times New Roman" w:cs="Times New Roman"/>
          <w:b/>
          <w:bCs/>
          <w:i/>
          <w:iCs/>
        </w:rPr>
        <w:t xml:space="preserve"> </w:t>
      </w:r>
      <w:r w:rsidR="00F35942" w:rsidRPr="00E124FF">
        <w:rPr>
          <w:rFonts w:ascii="Times New Roman" w:hAnsi="Times New Roman" w:cs="Times New Roman"/>
          <w:b/>
          <w:bCs/>
          <w:i/>
          <w:iCs/>
        </w:rPr>
        <w:t xml:space="preserve">In </w:t>
      </w:r>
      <w:r w:rsidRPr="00E124FF">
        <w:rPr>
          <w:rFonts w:ascii="Times New Roman" w:hAnsi="Times New Roman" w:cs="Times New Roman"/>
          <w:b/>
          <w:bCs/>
          <w:i/>
          <w:iCs/>
        </w:rPr>
        <w:t>General</w:t>
      </w:r>
    </w:p>
    <w:p w14:paraId="0254C9B0" w14:textId="77777777" w:rsidR="00F25CBE" w:rsidRPr="00E124FF" w:rsidRDefault="00F25CBE" w:rsidP="00F25CBE">
      <w:pPr>
        <w:pStyle w:val="ListParagraph"/>
        <w:ind w:left="0"/>
        <w:rPr>
          <w:rFonts w:ascii="Times New Roman" w:hAnsi="Times New Roman" w:cs="Times New Roman"/>
          <w:b/>
          <w:bCs/>
          <w:i/>
          <w:iCs/>
        </w:rPr>
      </w:pPr>
    </w:p>
    <w:p w14:paraId="69112E82" w14:textId="77777777" w:rsidR="00A94445" w:rsidRPr="00E124FF" w:rsidRDefault="00A94445" w:rsidP="00A94445">
      <w:pPr>
        <w:pStyle w:val="ListParagraph"/>
        <w:numPr>
          <w:ilvl w:val="0"/>
          <w:numId w:val="13"/>
        </w:numPr>
        <w:jc w:val="both"/>
        <w:rPr>
          <w:rFonts w:ascii="Times New Roman" w:hAnsi="Times New Roman" w:cs="Times New Roman"/>
        </w:rPr>
      </w:pPr>
      <w:r w:rsidRPr="00E124FF">
        <w:rPr>
          <w:rFonts w:ascii="Times New Roman" w:hAnsi="Times New Roman" w:cs="Times New Roman"/>
        </w:rPr>
        <w:t>The prompt determination of care proceedings under Part IV of the Children Act 1989 is not a mere aspiration. It is what the law requires (</w:t>
      </w:r>
      <w:r w:rsidRPr="00F25CBE">
        <w:rPr>
          <w:rFonts w:ascii="Times New Roman" w:hAnsi="Times New Roman" w:cs="Times New Roman"/>
          <w:i/>
          <w:iCs/>
          <w:u w:val="single"/>
        </w:rPr>
        <w:t xml:space="preserve">Re S (Parenting Assessment) </w:t>
      </w:r>
      <w:r w:rsidRPr="00F25CBE">
        <w:rPr>
          <w:rFonts w:ascii="Times New Roman" w:hAnsi="Times New Roman" w:cs="Times New Roman"/>
          <w:u w:val="single"/>
        </w:rPr>
        <w:t xml:space="preserve">[2014] 2 FLR 575 </w:t>
      </w:r>
      <w:r w:rsidRPr="00E124FF">
        <w:rPr>
          <w:rFonts w:ascii="Times New Roman" w:hAnsi="Times New Roman" w:cs="Times New Roman"/>
        </w:rPr>
        <w:t xml:space="preserve">and </w:t>
      </w:r>
      <w:r w:rsidRPr="00F25CBE">
        <w:rPr>
          <w:rFonts w:ascii="Times New Roman" w:hAnsi="Times New Roman" w:cs="Times New Roman"/>
          <w:i/>
          <w:iCs/>
          <w:u w:val="single"/>
        </w:rPr>
        <w:t>London Borough of Enfield v RE</w:t>
      </w:r>
      <w:r w:rsidRPr="00F25CBE">
        <w:rPr>
          <w:rFonts w:ascii="Times New Roman" w:hAnsi="Times New Roman" w:cs="Times New Roman"/>
          <w:u w:val="single"/>
        </w:rPr>
        <w:t xml:space="preserve"> [2024] EWFC 183</w:t>
      </w:r>
      <w:r w:rsidRPr="00E124FF">
        <w:rPr>
          <w:rFonts w:ascii="Times New Roman" w:hAnsi="Times New Roman" w:cs="Times New Roman"/>
        </w:rPr>
        <w:t xml:space="preserve">) </w:t>
      </w:r>
    </w:p>
    <w:p w14:paraId="5332140E" w14:textId="77777777" w:rsidR="00A94445" w:rsidRPr="00E124FF" w:rsidRDefault="00A94445" w:rsidP="00A94445">
      <w:pPr>
        <w:pStyle w:val="ListParagraph"/>
        <w:jc w:val="both"/>
        <w:rPr>
          <w:rFonts w:ascii="Times New Roman" w:hAnsi="Times New Roman" w:cs="Times New Roman"/>
        </w:rPr>
      </w:pPr>
    </w:p>
    <w:p w14:paraId="43384D54" w14:textId="77777777" w:rsidR="00A94445" w:rsidRPr="00E124FF" w:rsidRDefault="00A94445" w:rsidP="00A94445">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Every hearing must be effective. There will be robust case management at each hearing. </w:t>
      </w:r>
    </w:p>
    <w:p w14:paraId="61FB6D19" w14:textId="77777777" w:rsidR="00A94445" w:rsidRPr="00E124FF" w:rsidRDefault="00A94445" w:rsidP="00A94445">
      <w:pPr>
        <w:pStyle w:val="ListParagraph"/>
        <w:rPr>
          <w:rFonts w:ascii="Times New Roman" w:hAnsi="Times New Roman" w:cs="Times New Roman"/>
        </w:rPr>
      </w:pPr>
    </w:p>
    <w:p w14:paraId="05955345" w14:textId="366120AA" w:rsidR="00A94445" w:rsidRPr="00E124FF" w:rsidRDefault="00A94445" w:rsidP="00A94445">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In most cases there will only be </w:t>
      </w:r>
      <w:r w:rsidR="00F35942" w:rsidRPr="00E124FF">
        <w:rPr>
          <w:rFonts w:ascii="Times New Roman" w:hAnsi="Times New Roman" w:cs="Times New Roman"/>
        </w:rPr>
        <w:t xml:space="preserve">the </w:t>
      </w:r>
      <w:r w:rsidR="008659B1">
        <w:rPr>
          <w:rFonts w:ascii="Times New Roman" w:hAnsi="Times New Roman" w:cs="Times New Roman"/>
        </w:rPr>
        <w:t>CMH</w:t>
      </w:r>
      <w:r w:rsidR="00F35942" w:rsidRPr="00E124FF">
        <w:rPr>
          <w:rFonts w:ascii="Times New Roman" w:hAnsi="Times New Roman" w:cs="Times New Roman"/>
        </w:rPr>
        <w:t xml:space="preserve">, the Issues </w:t>
      </w:r>
      <w:r w:rsidR="008659B1">
        <w:rPr>
          <w:rFonts w:ascii="Times New Roman" w:hAnsi="Times New Roman" w:cs="Times New Roman"/>
        </w:rPr>
        <w:t>R</w:t>
      </w:r>
      <w:r w:rsidR="00F35942" w:rsidRPr="00E124FF">
        <w:rPr>
          <w:rFonts w:ascii="Times New Roman" w:hAnsi="Times New Roman" w:cs="Times New Roman"/>
        </w:rPr>
        <w:t xml:space="preserve">esolution/Early Final </w:t>
      </w:r>
      <w:r w:rsidR="00F25CBE">
        <w:rPr>
          <w:rFonts w:ascii="Times New Roman" w:hAnsi="Times New Roman" w:cs="Times New Roman"/>
        </w:rPr>
        <w:t>H</w:t>
      </w:r>
      <w:r w:rsidR="008659B1" w:rsidRPr="00E124FF">
        <w:rPr>
          <w:rFonts w:ascii="Times New Roman" w:hAnsi="Times New Roman" w:cs="Times New Roman"/>
        </w:rPr>
        <w:t>earing</w:t>
      </w:r>
      <w:r w:rsidR="008659B1">
        <w:rPr>
          <w:rFonts w:ascii="Times New Roman" w:hAnsi="Times New Roman" w:cs="Times New Roman"/>
        </w:rPr>
        <w:t xml:space="preserve"> (</w:t>
      </w:r>
      <w:r w:rsidR="00F25CBE">
        <w:rPr>
          <w:rFonts w:ascii="Times New Roman" w:hAnsi="Times New Roman" w:cs="Times New Roman"/>
        </w:rPr>
        <w:t>“</w:t>
      </w:r>
      <w:r w:rsidR="008659B1">
        <w:rPr>
          <w:rFonts w:ascii="Times New Roman" w:hAnsi="Times New Roman" w:cs="Times New Roman"/>
        </w:rPr>
        <w:t>IRH/EFH</w:t>
      </w:r>
      <w:r w:rsidR="00F25CBE">
        <w:rPr>
          <w:rFonts w:ascii="Times New Roman" w:hAnsi="Times New Roman" w:cs="Times New Roman"/>
        </w:rPr>
        <w:t>”</w:t>
      </w:r>
      <w:r w:rsidR="008659B1">
        <w:rPr>
          <w:rFonts w:ascii="Times New Roman" w:hAnsi="Times New Roman" w:cs="Times New Roman"/>
        </w:rPr>
        <w:t>)</w:t>
      </w:r>
      <w:r w:rsidR="008659B1" w:rsidRPr="00E124FF">
        <w:rPr>
          <w:rFonts w:ascii="Times New Roman" w:hAnsi="Times New Roman" w:cs="Times New Roman"/>
        </w:rPr>
        <w:t xml:space="preserve"> and</w:t>
      </w:r>
      <w:r w:rsidRPr="00E124FF">
        <w:rPr>
          <w:rFonts w:ascii="Times New Roman" w:hAnsi="Times New Roman" w:cs="Times New Roman"/>
        </w:rPr>
        <w:t xml:space="preserve"> </w:t>
      </w:r>
      <w:r w:rsidR="00F35942" w:rsidRPr="00E124FF">
        <w:rPr>
          <w:rFonts w:ascii="Times New Roman" w:hAnsi="Times New Roman" w:cs="Times New Roman"/>
        </w:rPr>
        <w:t>F</w:t>
      </w:r>
      <w:r w:rsidRPr="00E124FF">
        <w:rPr>
          <w:rFonts w:ascii="Times New Roman" w:hAnsi="Times New Roman" w:cs="Times New Roman"/>
        </w:rPr>
        <w:t xml:space="preserve">inal </w:t>
      </w:r>
      <w:r w:rsidR="008659B1">
        <w:rPr>
          <w:rFonts w:ascii="Times New Roman" w:hAnsi="Times New Roman" w:cs="Times New Roman"/>
        </w:rPr>
        <w:t>Hea</w:t>
      </w:r>
      <w:r w:rsidRPr="00E124FF">
        <w:rPr>
          <w:rFonts w:ascii="Times New Roman" w:hAnsi="Times New Roman" w:cs="Times New Roman"/>
        </w:rPr>
        <w:t>ring</w:t>
      </w:r>
      <w:r w:rsidR="008659B1">
        <w:rPr>
          <w:rFonts w:ascii="Times New Roman" w:hAnsi="Times New Roman" w:cs="Times New Roman"/>
        </w:rPr>
        <w:t xml:space="preserve"> (</w:t>
      </w:r>
      <w:r w:rsidR="00F25CBE">
        <w:rPr>
          <w:rFonts w:ascii="Times New Roman" w:hAnsi="Times New Roman" w:cs="Times New Roman"/>
        </w:rPr>
        <w:t>“</w:t>
      </w:r>
      <w:r w:rsidR="008659B1">
        <w:rPr>
          <w:rFonts w:ascii="Times New Roman" w:hAnsi="Times New Roman" w:cs="Times New Roman"/>
        </w:rPr>
        <w:t>FH</w:t>
      </w:r>
      <w:r w:rsidR="00F25CBE">
        <w:rPr>
          <w:rFonts w:ascii="Times New Roman" w:hAnsi="Times New Roman" w:cs="Times New Roman"/>
        </w:rPr>
        <w:t>”</w:t>
      </w:r>
      <w:r w:rsidR="008659B1">
        <w:rPr>
          <w:rFonts w:ascii="Times New Roman" w:hAnsi="Times New Roman" w:cs="Times New Roman"/>
        </w:rPr>
        <w:t>)</w:t>
      </w:r>
      <w:r w:rsidRPr="00E124FF">
        <w:rPr>
          <w:rFonts w:ascii="Times New Roman" w:hAnsi="Times New Roman" w:cs="Times New Roman"/>
        </w:rPr>
        <w:t xml:space="preserve"> (if necessary).  </w:t>
      </w:r>
    </w:p>
    <w:p w14:paraId="6EE0EC16" w14:textId="44D425C6" w:rsidR="001A67E3" w:rsidRPr="00E124FF" w:rsidRDefault="001A67E3" w:rsidP="00A94445">
      <w:pPr>
        <w:pStyle w:val="ListParagraph"/>
        <w:ind w:left="1080"/>
        <w:jc w:val="both"/>
        <w:rPr>
          <w:rFonts w:ascii="Times New Roman" w:hAnsi="Times New Roman" w:cs="Times New Roman"/>
        </w:rPr>
      </w:pPr>
    </w:p>
    <w:p w14:paraId="6138F6D6" w14:textId="660CB9FB" w:rsidR="6E02F1F1" w:rsidRDefault="000E486D" w:rsidP="00F25CBE">
      <w:pPr>
        <w:pStyle w:val="ListParagraph"/>
        <w:ind w:left="0"/>
        <w:jc w:val="both"/>
        <w:rPr>
          <w:rFonts w:ascii="Times New Roman" w:hAnsi="Times New Roman" w:cs="Times New Roman"/>
          <w:b/>
          <w:bCs/>
          <w:i/>
          <w:iCs/>
        </w:rPr>
      </w:pPr>
      <w:r w:rsidRPr="00E124FF">
        <w:rPr>
          <w:rFonts w:ascii="Times New Roman" w:hAnsi="Times New Roman" w:cs="Times New Roman"/>
          <w:b/>
          <w:bCs/>
          <w:i/>
          <w:iCs/>
        </w:rPr>
        <w:t>The Case</w:t>
      </w:r>
      <w:r w:rsidR="00F35942" w:rsidRPr="00E124FF">
        <w:rPr>
          <w:rFonts w:ascii="Times New Roman" w:hAnsi="Times New Roman" w:cs="Times New Roman"/>
          <w:b/>
          <w:bCs/>
          <w:i/>
          <w:iCs/>
        </w:rPr>
        <w:t xml:space="preserve"> Management Hearing </w:t>
      </w:r>
    </w:p>
    <w:p w14:paraId="6EBCEC54" w14:textId="77777777" w:rsidR="00F25CBE" w:rsidRPr="00E124FF" w:rsidRDefault="00F25CBE" w:rsidP="00F25CBE">
      <w:pPr>
        <w:pStyle w:val="ListParagraph"/>
        <w:ind w:left="0"/>
        <w:jc w:val="both"/>
        <w:rPr>
          <w:rFonts w:ascii="Times New Roman" w:hAnsi="Times New Roman" w:cs="Times New Roman"/>
          <w:b/>
          <w:bCs/>
          <w:i/>
          <w:iCs/>
        </w:rPr>
      </w:pPr>
    </w:p>
    <w:p w14:paraId="2F5CDBDA" w14:textId="01A60403" w:rsidR="00D8311C" w:rsidRPr="00E124FF" w:rsidRDefault="73830243"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 </w:t>
      </w:r>
      <w:r w:rsidR="000E486D" w:rsidRPr="00E124FF">
        <w:rPr>
          <w:rFonts w:ascii="Times New Roman" w:hAnsi="Times New Roman" w:cs="Times New Roman"/>
        </w:rPr>
        <w:t xml:space="preserve">The </w:t>
      </w:r>
      <w:r w:rsidR="63DF0658" w:rsidRPr="00E124FF">
        <w:rPr>
          <w:rFonts w:ascii="Times New Roman" w:hAnsi="Times New Roman" w:cs="Times New Roman"/>
        </w:rPr>
        <w:t>CMH</w:t>
      </w:r>
      <w:r w:rsidR="00F35942" w:rsidRPr="00E124FF">
        <w:rPr>
          <w:rFonts w:ascii="Times New Roman" w:hAnsi="Times New Roman" w:cs="Times New Roman"/>
        </w:rPr>
        <w:t xml:space="preserve"> </w:t>
      </w:r>
      <w:r w:rsidR="63DF0658" w:rsidRPr="00E124FF">
        <w:rPr>
          <w:rFonts w:ascii="Times New Roman" w:hAnsi="Times New Roman" w:cs="Times New Roman"/>
        </w:rPr>
        <w:t xml:space="preserve">will be listed not </w:t>
      </w:r>
      <w:r w:rsidR="34B7D0C0" w:rsidRPr="00E124FF">
        <w:rPr>
          <w:rFonts w:ascii="Times New Roman" w:hAnsi="Times New Roman" w:cs="Times New Roman"/>
        </w:rPr>
        <w:t>before</w:t>
      </w:r>
      <w:r w:rsidR="63DF0658" w:rsidRPr="00E124FF">
        <w:rPr>
          <w:rFonts w:ascii="Times New Roman" w:hAnsi="Times New Roman" w:cs="Times New Roman"/>
        </w:rPr>
        <w:t xml:space="preserve"> day 12 and not later than day 18. </w:t>
      </w:r>
      <w:r w:rsidR="008659B1">
        <w:rPr>
          <w:rFonts w:ascii="Times New Roman" w:hAnsi="Times New Roman" w:cs="Times New Roman"/>
        </w:rPr>
        <w:t>The days are business days.</w:t>
      </w:r>
    </w:p>
    <w:p w14:paraId="5A9CA09A" w14:textId="77777777" w:rsidR="00D8311C" w:rsidRPr="00E124FF" w:rsidRDefault="00D8311C" w:rsidP="00D8311C">
      <w:pPr>
        <w:pStyle w:val="ListParagraph"/>
        <w:ind w:left="1080"/>
        <w:jc w:val="both"/>
        <w:rPr>
          <w:rFonts w:ascii="Times New Roman" w:hAnsi="Times New Roman" w:cs="Times New Roman"/>
        </w:rPr>
      </w:pPr>
    </w:p>
    <w:p w14:paraId="367750CA" w14:textId="3D082543" w:rsidR="00D8311C" w:rsidRPr="00E124FF" w:rsidRDefault="258C2210"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At </w:t>
      </w:r>
      <w:r w:rsidR="00F25CBE" w:rsidRPr="00E124FF">
        <w:rPr>
          <w:rFonts w:ascii="Times New Roman" w:hAnsi="Times New Roman" w:cs="Times New Roman"/>
        </w:rPr>
        <w:t>the CMH</w:t>
      </w:r>
      <w:r w:rsidR="00D8311C" w:rsidRPr="00E124FF">
        <w:rPr>
          <w:rFonts w:ascii="Times New Roman" w:hAnsi="Times New Roman" w:cs="Times New Roman"/>
        </w:rPr>
        <w:t>, the</w:t>
      </w:r>
      <w:r w:rsidR="63DF0658" w:rsidRPr="00E124FF">
        <w:rPr>
          <w:rFonts w:ascii="Times New Roman" w:hAnsi="Times New Roman" w:cs="Times New Roman"/>
        </w:rPr>
        <w:t xml:space="preserve"> court will expect to be addre</w:t>
      </w:r>
      <w:r w:rsidR="100690EC" w:rsidRPr="00E124FF">
        <w:rPr>
          <w:rFonts w:ascii="Times New Roman" w:hAnsi="Times New Roman" w:cs="Times New Roman"/>
        </w:rPr>
        <w:t xml:space="preserve">ssed on all </w:t>
      </w:r>
      <w:r w:rsidR="4B305CFD" w:rsidRPr="00E124FF">
        <w:rPr>
          <w:rFonts w:ascii="Times New Roman" w:hAnsi="Times New Roman" w:cs="Times New Roman"/>
        </w:rPr>
        <w:t>the</w:t>
      </w:r>
      <w:r w:rsidR="100690EC" w:rsidRPr="00E124FF">
        <w:rPr>
          <w:rFonts w:ascii="Times New Roman" w:hAnsi="Times New Roman" w:cs="Times New Roman"/>
        </w:rPr>
        <w:t xml:space="preserve"> issues </w:t>
      </w:r>
      <w:r w:rsidR="3793F0D9" w:rsidRPr="00E124FF">
        <w:rPr>
          <w:rFonts w:ascii="Times New Roman" w:hAnsi="Times New Roman" w:cs="Times New Roman"/>
        </w:rPr>
        <w:t>required</w:t>
      </w:r>
      <w:r w:rsidR="100690EC" w:rsidRPr="00E124FF">
        <w:rPr>
          <w:rFonts w:ascii="Times New Roman" w:hAnsi="Times New Roman" w:cs="Times New Roman"/>
        </w:rPr>
        <w:t xml:space="preserve"> by the PLO to be considered at </w:t>
      </w:r>
      <w:r w:rsidR="2CC57E49" w:rsidRPr="00E124FF">
        <w:rPr>
          <w:rFonts w:ascii="Times New Roman" w:hAnsi="Times New Roman" w:cs="Times New Roman"/>
        </w:rPr>
        <w:t>this</w:t>
      </w:r>
      <w:r w:rsidR="100690EC" w:rsidRPr="00E124FF">
        <w:rPr>
          <w:rFonts w:ascii="Times New Roman" w:hAnsi="Times New Roman" w:cs="Times New Roman"/>
        </w:rPr>
        <w:t xml:space="preserve"> hearing. </w:t>
      </w:r>
      <w:r w:rsidR="63DF0658" w:rsidRPr="00E124FF">
        <w:rPr>
          <w:rFonts w:ascii="Times New Roman" w:hAnsi="Times New Roman" w:cs="Times New Roman"/>
        </w:rPr>
        <w:t xml:space="preserve"> </w:t>
      </w:r>
    </w:p>
    <w:p w14:paraId="1A633944" w14:textId="77777777" w:rsidR="00D8311C" w:rsidRPr="00E124FF" w:rsidRDefault="00D8311C" w:rsidP="00D8311C">
      <w:pPr>
        <w:pStyle w:val="ListParagraph"/>
        <w:rPr>
          <w:rFonts w:ascii="Times New Roman" w:hAnsi="Times New Roman" w:cs="Times New Roman"/>
        </w:rPr>
      </w:pPr>
    </w:p>
    <w:p w14:paraId="17F0A4AA" w14:textId="3449DDB9" w:rsidR="73830243" w:rsidRPr="00E124FF" w:rsidRDefault="46665EE6"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To ensure this hearing is </w:t>
      </w:r>
      <w:r w:rsidR="3F2F4390" w:rsidRPr="00E124FF">
        <w:rPr>
          <w:rFonts w:ascii="Times New Roman" w:hAnsi="Times New Roman" w:cs="Times New Roman"/>
        </w:rPr>
        <w:t>effective</w:t>
      </w:r>
      <w:r w:rsidRPr="00E124FF">
        <w:rPr>
          <w:rFonts w:ascii="Times New Roman" w:hAnsi="Times New Roman" w:cs="Times New Roman"/>
        </w:rPr>
        <w:t xml:space="preserve"> and purposeful there must be an </w:t>
      </w:r>
      <w:r w:rsidR="1AD99FD2" w:rsidRPr="00E124FF">
        <w:rPr>
          <w:rFonts w:ascii="Times New Roman" w:hAnsi="Times New Roman" w:cs="Times New Roman"/>
        </w:rPr>
        <w:t>Advocates</w:t>
      </w:r>
      <w:r w:rsidRPr="00E124FF">
        <w:rPr>
          <w:rFonts w:ascii="Times New Roman" w:hAnsi="Times New Roman" w:cs="Times New Roman"/>
        </w:rPr>
        <w:t xml:space="preserve">’ Meeting no later </w:t>
      </w:r>
      <w:r w:rsidR="20EDE777" w:rsidRPr="00E124FF">
        <w:rPr>
          <w:rFonts w:ascii="Times New Roman" w:hAnsi="Times New Roman" w:cs="Times New Roman"/>
        </w:rPr>
        <w:t>than</w:t>
      </w:r>
      <w:r w:rsidRPr="00E124FF">
        <w:rPr>
          <w:rFonts w:ascii="Times New Roman" w:hAnsi="Times New Roman" w:cs="Times New Roman"/>
        </w:rPr>
        <w:t xml:space="preserve"> 2 business days </w:t>
      </w:r>
      <w:r w:rsidR="31E76FF4" w:rsidRPr="00E124FF">
        <w:rPr>
          <w:rFonts w:ascii="Times New Roman" w:hAnsi="Times New Roman" w:cs="Times New Roman"/>
        </w:rPr>
        <w:t>before</w:t>
      </w:r>
      <w:r w:rsidRPr="00E124FF">
        <w:rPr>
          <w:rFonts w:ascii="Times New Roman" w:hAnsi="Times New Roman" w:cs="Times New Roman"/>
        </w:rPr>
        <w:t xml:space="preserve"> </w:t>
      </w:r>
      <w:r w:rsidR="7863DA5E" w:rsidRPr="00E124FF">
        <w:rPr>
          <w:rFonts w:ascii="Times New Roman" w:hAnsi="Times New Roman" w:cs="Times New Roman"/>
        </w:rPr>
        <w:t>the</w:t>
      </w:r>
      <w:r w:rsidRPr="00E124FF">
        <w:rPr>
          <w:rFonts w:ascii="Times New Roman" w:hAnsi="Times New Roman" w:cs="Times New Roman"/>
        </w:rPr>
        <w:t xml:space="preserve"> CMH.  At </w:t>
      </w:r>
      <w:r w:rsidR="34D594FD" w:rsidRPr="00E124FF">
        <w:rPr>
          <w:rFonts w:ascii="Times New Roman" w:hAnsi="Times New Roman" w:cs="Times New Roman"/>
        </w:rPr>
        <w:t>the</w:t>
      </w:r>
      <w:r w:rsidRPr="00E124FF">
        <w:rPr>
          <w:rFonts w:ascii="Times New Roman" w:hAnsi="Times New Roman" w:cs="Times New Roman"/>
        </w:rPr>
        <w:t xml:space="preserve"> conclusion of the Advocates’</w:t>
      </w:r>
      <w:r w:rsidR="00F25CBE">
        <w:rPr>
          <w:rFonts w:ascii="Times New Roman" w:hAnsi="Times New Roman" w:cs="Times New Roman"/>
        </w:rPr>
        <w:t xml:space="preserve"> </w:t>
      </w:r>
      <w:r w:rsidRPr="00E124FF">
        <w:rPr>
          <w:rFonts w:ascii="Times New Roman" w:hAnsi="Times New Roman" w:cs="Times New Roman"/>
        </w:rPr>
        <w:t>Meeting, the</w:t>
      </w:r>
      <w:r w:rsidR="00A94445" w:rsidRPr="00E124FF">
        <w:rPr>
          <w:rFonts w:ascii="Times New Roman" w:hAnsi="Times New Roman" w:cs="Times New Roman"/>
        </w:rPr>
        <w:t xml:space="preserve"> local authority </w:t>
      </w:r>
      <w:r w:rsidRPr="00E124FF">
        <w:rPr>
          <w:rFonts w:ascii="Times New Roman" w:hAnsi="Times New Roman" w:cs="Times New Roman"/>
        </w:rPr>
        <w:t xml:space="preserve">advocate must file a </w:t>
      </w:r>
      <w:r w:rsidR="0402241B" w:rsidRPr="00E124FF">
        <w:rPr>
          <w:rFonts w:ascii="Times New Roman" w:hAnsi="Times New Roman" w:cs="Times New Roman"/>
        </w:rPr>
        <w:t xml:space="preserve">draft </w:t>
      </w:r>
      <w:r w:rsidR="00B20564">
        <w:rPr>
          <w:rFonts w:ascii="Times New Roman" w:hAnsi="Times New Roman" w:cs="Times New Roman"/>
        </w:rPr>
        <w:t>Case Management Order (</w:t>
      </w:r>
      <w:r w:rsidR="00F25CBE">
        <w:rPr>
          <w:rFonts w:ascii="Times New Roman" w:hAnsi="Times New Roman" w:cs="Times New Roman"/>
        </w:rPr>
        <w:t>“</w:t>
      </w:r>
      <w:r w:rsidR="0402241B" w:rsidRPr="00E124FF">
        <w:rPr>
          <w:rFonts w:ascii="Times New Roman" w:hAnsi="Times New Roman" w:cs="Times New Roman"/>
        </w:rPr>
        <w:t>CMO</w:t>
      </w:r>
      <w:r w:rsidR="00F25CBE">
        <w:rPr>
          <w:rFonts w:ascii="Times New Roman" w:hAnsi="Times New Roman" w:cs="Times New Roman"/>
        </w:rPr>
        <w:t>”</w:t>
      </w:r>
      <w:r w:rsidR="00B20564">
        <w:rPr>
          <w:rFonts w:ascii="Times New Roman" w:hAnsi="Times New Roman" w:cs="Times New Roman"/>
        </w:rPr>
        <w:t>)</w:t>
      </w:r>
      <w:r w:rsidR="0402241B" w:rsidRPr="00E124FF">
        <w:rPr>
          <w:rFonts w:ascii="Times New Roman" w:hAnsi="Times New Roman" w:cs="Times New Roman"/>
        </w:rPr>
        <w:t xml:space="preserve"> in the </w:t>
      </w:r>
      <w:r w:rsidR="47D85213" w:rsidRPr="00E124FF">
        <w:rPr>
          <w:rFonts w:ascii="Times New Roman" w:hAnsi="Times New Roman" w:cs="Times New Roman"/>
        </w:rPr>
        <w:t>prescribed</w:t>
      </w:r>
      <w:r w:rsidR="0402241B" w:rsidRPr="00E124FF">
        <w:rPr>
          <w:rFonts w:ascii="Times New Roman" w:hAnsi="Times New Roman" w:cs="Times New Roman"/>
        </w:rPr>
        <w:t xml:space="preserve"> form by no later than 11am on the business day</w:t>
      </w:r>
      <w:r w:rsidR="0402241B" w:rsidRPr="00E124FF">
        <w:rPr>
          <w:rFonts w:ascii="Times New Roman" w:hAnsi="Times New Roman" w:cs="Times New Roman"/>
          <w:b/>
          <w:bCs/>
        </w:rPr>
        <w:t xml:space="preserve"> before</w:t>
      </w:r>
      <w:r w:rsidR="0402241B" w:rsidRPr="00E124FF">
        <w:rPr>
          <w:rFonts w:ascii="Times New Roman" w:hAnsi="Times New Roman" w:cs="Times New Roman"/>
        </w:rPr>
        <w:t xml:space="preserve"> the CMH. </w:t>
      </w:r>
    </w:p>
    <w:p w14:paraId="49A277E9" w14:textId="77777777" w:rsidR="002B31E9" w:rsidRPr="00E124FF" w:rsidRDefault="002B31E9" w:rsidP="002B31E9">
      <w:pPr>
        <w:pStyle w:val="ListParagraph"/>
        <w:rPr>
          <w:rFonts w:ascii="Times New Roman" w:hAnsi="Times New Roman" w:cs="Times New Roman"/>
        </w:rPr>
      </w:pPr>
    </w:p>
    <w:p w14:paraId="1A928E5D" w14:textId="77777777" w:rsidR="00A94445" w:rsidRPr="00E124FF" w:rsidRDefault="008311E6"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court expects a full parental response to be filed </w:t>
      </w:r>
      <w:r w:rsidR="00D32FD2" w:rsidRPr="00E124FF">
        <w:rPr>
          <w:rFonts w:ascii="Times New Roman" w:hAnsi="Times New Roman" w:cs="Times New Roman"/>
        </w:rPr>
        <w:t xml:space="preserve">and served in good time to enable the Advocates’ Meeting and the CMH to be </w:t>
      </w:r>
      <w:r w:rsidR="0025144E" w:rsidRPr="00E124FF">
        <w:rPr>
          <w:rFonts w:ascii="Times New Roman" w:hAnsi="Times New Roman" w:cs="Times New Roman"/>
        </w:rPr>
        <w:t xml:space="preserve">effective. </w:t>
      </w:r>
    </w:p>
    <w:p w14:paraId="036C4F85" w14:textId="77777777" w:rsidR="00A94445" w:rsidRPr="00E124FF" w:rsidRDefault="00A94445" w:rsidP="00A94445">
      <w:pPr>
        <w:pStyle w:val="ListParagraph"/>
        <w:rPr>
          <w:rFonts w:ascii="Times New Roman" w:hAnsi="Times New Roman" w:cs="Times New Roman"/>
        </w:rPr>
      </w:pPr>
    </w:p>
    <w:p w14:paraId="6E944831" w14:textId="686A80D4" w:rsidR="002B31E9" w:rsidRPr="00E124FF" w:rsidRDefault="0025144E"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parental response should include as a </w:t>
      </w:r>
      <w:r w:rsidR="00B20564" w:rsidRPr="00E124FF">
        <w:rPr>
          <w:rFonts w:ascii="Times New Roman" w:hAnsi="Times New Roman" w:cs="Times New Roman"/>
        </w:rPr>
        <w:t>minimum:</w:t>
      </w:r>
    </w:p>
    <w:p w14:paraId="1CE21A2B" w14:textId="77777777" w:rsidR="0025144E" w:rsidRPr="00E124FF" w:rsidRDefault="0025144E" w:rsidP="0025144E">
      <w:pPr>
        <w:pStyle w:val="ListParagraph"/>
        <w:rPr>
          <w:rFonts w:ascii="Times New Roman" w:hAnsi="Times New Roman" w:cs="Times New Roman"/>
        </w:rPr>
      </w:pPr>
    </w:p>
    <w:p w14:paraId="473A2674" w14:textId="2B0CDB92" w:rsidR="0025144E" w:rsidRDefault="0025144E" w:rsidP="00F25CBE">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 xml:space="preserve">A </w:t>
      </w:r>
      <w:r w:rsidR="00AB0ED4" w:rsidRPr="00E124FF">
        <w:rPr>
          <w:rFonts w:ascii="Times New Roman" w:hAnsi="Times New Roman" w:cs="Times New Roman"/>
        </w:rPr>
        <w:t xml:space="preserve">full </w:t>
      </w:r>
      <w:r w:rsidRPr="00E124FF">
        <w:rPr>
          <w:rFonts w:ascii="Times New Roman" w:hAnsi="Times New Roman" w:cs="Times New Roman"/>
        </w:rPr>
        <w:t>response to</w:t>
      </w:r>
      <w:r w:rsidR="003F6553" w:rsidRPr="00E124FF">
        <w:rPr>
          <w:rFonts w:ascii="Times New Roman" w:hAnsi="Times New Roman" w:cs="Times New Roman"/>
        </w:rPr>
        <w:t xml:space="preserve"> the </w:t>
      </w:r>
      <w:r w:rsidR="00B65C19" w:rsidRPr="00E124FF">
        <w:rPr>
          <w:rFonts w:ascii="Times New Roman" w:hAnsi="Times New Roman" w:cs="Times New Roman"/>
        </w:rPr>
        <w:t xml:space="preserve">pleaded </w:t>
      </w:r>
      <w:r w:rsidR="00A94445" w:rsidRPr="00E124FF">
        <w:rPr>
          <w:rFonts w:ascii="Times New Roman" w:hAnsi="Times New Roman" w:cs="Times New Roman"/>
        </w:rPr>
        <w:t>threshold.</w:t>
      </w:r>
      <w:r w:rsidR="003F6553" w:rsidRPr="00E124FF">
        <w:rPr>
          <w:rFonts w:ascii="Times New Roman" w:hAnsi="Times New Roman" w:cs="Times New Roman"/>
        </w:rPr>
        <w:t xml:space="preserve"> Any application fo</w:t>
      </w:r>
      <w:r w:rsidR="00B65C19" w:rsidRPr="00E124FF">
        <w:rPr>
          <w:rFonts w:ascii="Times New Roman" w:hAnsi="Times New Roman" w:cs="Times New Roman"/>
        </w:rPr>
        <w:t>r</w:t>
      </w:r>
      <w:r w:rsidR="003F6553" w:rsidRPr="00E124FF">
        <w:rPr>
          <w:rFonts w:ascii="Times New Roman" w:hAnsi="Times New Roman" w:cs="Times New Roman"/>
        </w:rPr>
        <w:t xml:space="preserve"> extensions of time </w:t>
      </w:r>
      <w:r w:rsidR="00EF5E21" w:rsidRPr="00E124FF">
        <w:rPr>
          <w:rFonts w:ascii="Times New Roman" w:hAnsi="Times New Roman" w:cs="Times New Roman"/>
        </w:rPr>
        <w:t xml:space="preserve">to respond to threshold </w:t>
      </w:r>
      <w:r w:rsidR="001D4346" w:rsidRPr="00E124FF">
        <w:rPr>
          <w:rFonts w:ascii="Times New Roman" w:hAnsi="Times New Roman" w:cs="Times New Roman"/>
        </w:rPr>
        <w:t xml:space="preserve">will need to be specifically justified. </w:t>
      </w:r>
    </w:p>
    <w:p w14:paraId="782465C3" w14:textId="77777777" w:rsidR="00F25CBE" w:rsidRPr="00F25CBE" w:rsidRDefault="00F25CBE" w:rsidP="00F25CBE">
      <w:pPr>
        <w:spacing w:after="0"/>
        <w:ind w:left="1440"/>
        <w:jc w:val="both"/>
        <w:rPr>
          <w:rFonts w:ascii="Times New Roman" w:hAnsi="Times New Roman" w:cs="Times New Roman"/>
        </w:rPr>
      </w:pPr>
    </w:p>
    <w:p w14:paraId="02EFF163" w14:textId="0458783A" w:rsidR="00A51C99" w:rsidRDefault="00A51C99" w:rsidP="00F25CBE">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 xml:space="preserve">Identification of all persons put forward as alternative carers if the child(ren) cannot </w:t>
      </w:r>
      <w:r w:rsidR="00AB0ED4" w:rsidRPr="00E124FF">
        <w:rPr>
          <w:rFonts w:ascii="Times New Roman" w:hAnsi="Times New Roman" w:cs="Times New Roman"/>
        </w:rPr>
        <w:t>be cared fo</w:t>
      </w:r>
      <w:r w:rsidR="00BA53D9" w:rsidRPr="00E124FF">
        <w:rPr>
          <w:rFonts w:ascii="Times New Roman" w:hAnsi="Times New Roman" w:cs="Times New Roman"/>
        </w:rPr>
        <w:t>r</w:t>
      </w:r>
      <w:r w:rsidR="00AB0ED4" w:rsidRPr="00E124FF">
        <w:rPr>
          <w:rFonts w:ascii="Times New Roman" w:hAnsi="Times New Roman" w:cs="Times New Roman"/>
        </w:rPr>
        <w:t xml:space="preserve"> by their current carers. </w:t>
      </w:r>
    </w:p>
    <w:p w14:paraId="48CC3EAD" w14:textId="77777777" w:rsidR="00F25CBE" w:rsidRPr="00F25CBE" w:rsidRDefault="00F25CBE" w:rsidP="00F25CBE">
      <w:pPr>
        <w:spacing w:after="0"/>
        <w:ind w:left="1440"/>
        <w:jc w:val="both"/>
        <w:rPr>
          <w:rFonts w:ascii="Times New Roman" w:hAnsi="Times New Roman" w:cs="Times New Roman"/>
        </w:rPr>
      </w:pPr>
    </w:p>
    <w:p w14:paraId="5340BB43" w14:textId="0BED0570" w:rsidR="00B72939" w:rsidRPr="00B20564" w:rsidRDefault="00B72939" w:rsidP="00F25CBE">
      <w:pPr>
        <w:pStyle w:val="ListParagraph"/>
        <w:numPr>
          <w:ilvl w:val="1"/>
          <w:numId w:val="13"/>
        </w:numPr>
        <w:spacing w:after="0"/>
        <w:jc w:val="both"/>
        <w:rPr>
          <w:rFonts w:ascii="Times New Roman" w:hAnsi="Times New Roman" w:cs="Times New Roman"/>
        </w:rPr>
      </w:pPr>
      <w:r w:rsidRPr="00B20564">
        <w:rPr>
          <w:rFonts w:ascii="Times New Roman" w:hAnsi="Times New Roman" w:cs="Times New Roman"/>
        </w:rPr>
        <w:t>Identif</w:t>
      </w:r>
      <w:r w:rsidR="00B20564">
        <w:rPr>
          <w:rFonts w:ascii="Times New Roman" w:hAnsi="Times New Roman" w:cs="Times New Roman"/>
        </w:rPr>
        <w:t xml:space="preserve">ication </w:t>
      </w:r>
      <w:r w:rsidR="00F25CBE">
        <w:rPr>
          <w:rFonts w:ascii="Times New Roman" w:hAnsi="Times New Roman" w:cs="Times New Roman"/>
        </w:rPr>
        <w:t xml:space="preserve">of </w:t>
      </w:r>
      <w:r w:rsidR="00F25CBE" w:rsidRPr="00B20564">
        <w:rPr>
          <w:rFonts w:ascii="Times New Roman" w:hAnsi="Times New Roman" w:cs="Times New Roman"/>
        </w:rPr>
        <w:t>all</w:t>
      </w:r>
      <w:r w:rsidRPr="00B20564">
        <w:rPr>
          <w:rFonts w:ascii="Times New Roman" w:hAnsi="Times New Roman" w:cs="Times New Roman"/>
        </w:rPr>
        <w:t xml:space="preserve"> or any experts fo</w:t>
      </w:r>
      <w:r w:rsidR="00FD5964" w:rsidRPr="00B20564">
        <w:rPr>
          <w:rFonts w:ascii="Times New Roman" w:hAnsi="Times New Roman" w:cs="Times New Roman"/>
        </w:rPr>
        <w:t>r</w:t>
      </w:r>
      <w:r w:rsidRPr="00B20564">
        <w:rPr>
          <w:rFonts w:ascii="Times New Roman" w:hAnsi="Times New Roman" w:cs="Times New Roman"/>
        </w:rPr>
        <w:t xml:space="preserve"> which permission to instruct will be sought. </w:t>
      </w:r>
    </w:p>
    <w:p w14:paraId="580050E7" w14:textId="2D459F42" w:rsidR="6E02F1F1" w:rsidRPr="00E124FF" w:rsidRDefault="6E02F1F1" w:rsidP="6E02F1F1">
      <w:pPr>
        <w:pStyle w:val="ListParagraph"/>
        <w:jc w:val="both"/>
        <w:rPr>
          <w:rFonts w:ascii="Times New Roman" w:hAnsi="Times New Roman" w:cs="Times New Roman"/>
        </w:rPr>
      </w:pPr>
    </w:p>
    <w:p w14:paraId="0CF70217" w14:textId="3470C6AE" w:rsidR="0E75273E" w:rsidRPr="00E124FF" w:rsidRDefault="0E75273E"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At the CMH </w:t>
      </w:r>
      <w:r w:rsidR="00894401" w:rsidRPr="00E124FF">
        <w:rPr>
          <w:rFonts w:ascii="Times New Roman" w:hAnsi="Times New Roman" w:cs="Times New Roman"/>
        </w:rPr>
        <w:t>the</w:t>
      </w:r>
      <w:r w:rsidRPr="00E124FF">
        <w:rPr>
          <w:rFonts w:ascii="Times New Roman" w:hAnsi="Times New Roman" w:cs="Times New Roman"/>
        </w:rPr>
        <w:t xml:space="preserve"> </w:t>
      </w:r>
      <w:r w:rsidR="50C6F000" w:rsidRPr="00E124FF">
        <w:rPr>
          <w:rFonts w:ascii="Times New Roman" w:hAnsi="Times New Roman" w:cs="Times New Roman"/>
        </w:rPr>
        <w:t>court</w:t>
      </w:r>
      <w:r w:rsidRPr="00E124FF">
        <w:rPr>
          <w:rFonts w:ascii="Times New Roman" w:hAnsi="Times New Roman" w:cs="Times New Roman"/>
        </w:rPr>
        <w:t xml:space="preserve"> </w:t>
      </w:r>
      <w:r w:rsidR="10F7258A" w:rsidRPr="00E124FF">
        <w:rPr>
          <w:rFonts w:ascii="Times New Roman" w:hAnsi="Times New Roman" w:cs="Times New Roman"/>
        </w:rPr>
        <w:t>will</w:t>
      </w:r>
      <w:r w:rsidRPr="00E124FF">
        <w:rPr>
          <w:rFonts w:ascii="Times New Roman" w:hAnsi="Times New Roman" w:cs="Times New Roman"/>
        </w:rPr>
        <w:t xml:space="preserve"> draw up the </w:t>
      </w:r>
      <w:r w:rsidR="00894401" w:rsidRPr="00E124FF">
        <w:rPr>
          <w:rFonts w:ascii="Times New Roman" w:hAnsi="Times New Roman" w:cs="Times New Roman"/>
        </w:rPr>
        <w:t>timetable</w:t>
      </w:r>
      <w:r w:rsidRPr="00E124FF">
        <w:rPr>
          <w:rFonts w:ascii="Times New Roman" w:hAnsi="Times New Roman" w:cs="Times New Roman"/>
        </w:rPr>
        <w:t xml:space="preserve"> for </w:t>
      </w:r>
      <w:r w:rsidR="00894401" w:rsidRPr="00E124FF">
        <w:rPr>
          <w:rFonts w:ascii="Times New Roman" w:hAnsi="Times New Roman" w:cs="Times New Roman"/>
        </w:rPr>
        <w:t>proceeding</w:t>
      </w:r>
      <w:r w:rsidR="00B20564">
        <w:rPr>
          <w:rFonts w:ascii="Times New Roman" w:hAnsi="Times New Roman" w:cs="Times New Roman"/>
        </w:rPr>
        <w:t>s</w:t>
      </w:r>
      <w:r w:rsidRPr="00E124FF">
        <w:rPr>
          <w:rFonts w:ascii="Times New Roman" w:hAnsi="Times New Roman" w:cs="Times New Roman"/>
        </w:rPr>
        <w:t xml:space="preserve"> </w:t>
      </w:r>
      <w:r w:rsidR="00894401" w:rsidRPr="00E124FF">
        <w:rPr>
          <w:rFonts w:ascii="Times New Roman" w:hAnsi="Times New Roman" w:cs="Times New Roman"/>
        </w:rPr>
        <w:t>with</w:t>
      </w:r>
      <w:r w:rsidRPr="00E124FF">
        <w:rPr>
          <w:rFonts w:ascii="Times New Roman" w:hAnsi="Times New Roman" w:cs="Times New Roman"/>
        </w:rPr>
        <w:t xml:space="preserve"> a </w:t>
      </w:r>
      <w:r w:rsidR="00894401" w:rsidRPr="00E124FF">
        <w:rPr>
          <w:rFonts w:ascii="Times New Roman" w:hAnsi="Times New Roman" w:cs="Times New Roman"/>
        </w:rPr>
        <w:t>view</w:t>
      </w:r>
      <w:r w:rsidRPr="00E124FF">
        <w:rPr>
          <w:rFonts w:ascii="Times New Roman" w:hAnsi="Times New Roman" w:cs="Times New Roman"/>
        </w:rPr>
        <w:t xml:space="preserve"> to disposing of </w:t>
      </w:r>
      <w:r w:rsidR="00894401" w:rsidRPr="00E124FF">
        <w:rPr>
          <w:rFonts w:ascii="Times New Roman" w:hAnsi="Times New Roman" w:cs="Times New Roman"/>
        </w:rPr>
        <w:t>the</w:t>
      </w:r>
      <w:r w:rsidRPr="00E124FF">
        <w:rPr>
          <w:rFonts w:ascii="Times New Roman" w:hAnsi="Times New Roman" w:cs="Times New Roman"/>
        </w:rPr>
        <w:t xml:space="preserve"> </w:t>
      </w:r>
      <w:r w:rsidR="4B231348" w:rsidRPr="00E124FF">
        <w:rPr>
          <w:rFonts w:ascii="Times New Roman" w:hAnsi="Times New Roman" w:cs="Times New Roman"/>
        </w:rPr>
        <w:t>application</w:t>
      </w:r>
      <w:r w:rsidRPr="00E124FF">
        <w:rPr>
          <w:rFonts w:ascii="Times New Roman" w:hAnsi="Times New Roman" w:cs="Times New Roman"/>
        </w:rPr>
        <w:t xml:space="preserve"> without delay and in any event within 26 </w:t>
      </w:r>
      <w:r w:rsidR="00894401" w:rsidRPr="00E124FF">
        <w:rPr>
          <w:rFonts w:ascii="Times New Roman" w:hAnsi="Times New Roman" w:cs="Times New Roman"/>
        </w:rPr>
        <w:t xml:space="preserve">weeks </w:t>
      </w:r>
      <w:r w:rsidRPr="00E124FF">
        <w:rPr>
          <w:rFonts w:ascii="Times New Roman" w:hAnsi="Times New Roman" w:cs="Times New Roman"/>
        </w:rPr>
        <w:t xml:space="preserve">beginning with </w:t>
      </w:r>
      <w:r w:rsidR="00894401" w:rsidRPr="00E124FF">
        <w:rPr>
          <w:rFonts w:ascii="Times New Roman" w:hAnsi="Times New Roman" w:cs="Times New Roman"/>
        </w:rPr>
        <w:t>the</w:t>
      </w:r>
      <w:r w:rsidRPr="00E124FF">
        <w:rPr>
          <w:rFonts w:ascii="Times New Roman" w:hAnsi="Times New Roman" w:cs="Times New Roman"/>
        </w:rPr>
        <w:t xml:space="preserve"> day on which the </w:t>
      </w:r>
      <w:r w:rsidR="0E877FED" w:rsidRPr="00E124FF">
        <w:rPr>
          <w:rFonts w:ascii="Times New Roman" w:hAnsi="Times New Roman" w:cs="Times New Roman"/>
        </w:rPr>
        <w:t>application</w:t>
      </w:r>
      <w:r w:rsidRPr="00E124FF">
        <w:rPr>
          <w:rFonts w:ascii="Times New Roman" w:hAnsi="Times New Roman" w:cs="Times New Roman"/>
        </w:rPr>
        <w:t xml:space="preserve"> was issue</w:t>
      </w:r>
      <w:r w:rsidR="0B4CF931" w:rsidRPr="00E124FF">
        <w:rPr>
          <w:rFonts w:ascii="Times New Roman" w:hAnsi="Times New Roman" w:cs="Times New Roman"/>
        </w:rPr>
        <w:t>d</w:t>
      </w:r>
      <w:r w:rsidR="006C0574">
        <w:rPr>
          <w:rFonts w:ascii="Times New Roman" w:hAnsi="Times New Roman" w:cs="Times New Roman"/>
        </w:rPr>
        <w:t xml:space="preserve"> –</w:t>
      </w:r>
      <w:r w:rsidR="0B4CF931" w:rsidRPr="00E124FF">
        <w:rPr>
          <w:rFonts w:ascii="Times New Roman" w:hAnsi="Times New Roman" w:cs="Times New Roman"/>
        </w:rPr>
        <w:t xml:space="preserve"> </w:t>
      </w:r>
      <w:r w:rsidR="006C0574">
        <w:rPr>
          <w:rFonts w:ascii="Times New Roman" w:hAnsi="Times New Roman" w:cs="Times New Roman"/>
        </w:rPr>
        <w:t>s.</w:t>
      </w:r>
      <w:r w:rsidR="0B4CF931" w:rsidRPr="00E124FF">
        <w:rPr>
          <w:rFonts w:ascii="Times New Roman" w:hAnsi="Times New Roman" w:cs="Times New Roman"/>
        </w:rPr>
        <w:t>32</w:t>
      </w:r>
      <w:r w:rsidR="08E15D38" w:rsidRPr="00E124FF">
        <w:rPr>
          <w:rFonts w:ascii="Times New Roman" w:hAnsi="Times New Roman" w:cs="Times New Roman"/>
        </w:rPr>
        <w:t>(</w:t>
      </w:r>
      <w:r w:rsidR="0B4CF931" w:rsidRPr="00E124FF">
        <w:rPr>
          <w:rFonts w:ascii="Times New Roman" w:hAnsi="Times New Roman" w:cs="Times New Roman"/>
        </w:rPr>
        <w:t>1</w:t>
      </w:r>
      <w:r w:rsidR="4C6FDC8D" w:rsidRPr="00E124FF">
        <w:rPr>
          <w:rFonts w:ascii="Times New Roman" w:hAnsi="Times New Roman" w:cs="Times New Roman"/>
        </w:rPr>
        <w:t>)(</w:t>
      </w:r>
      <w:r w:rsidR="0B4CF931" w:rsidRPr="00E124FF">
        <w:rPr>
          <w:rFonts w:ascii="Times New Roman" w:hAnsi="Times New Roman" w:cs="Times New Roman"/>
        </w:rPr>
        <w:t>a)(ii) Children Act 1989</w:t>
      </w:r>
      <w:r w:rsidR="4252E0F4" w:rsidRPr="00E124FF">
        <w:rPr>
          <w:rFonts w:ascii="Times New Roman" w:hAnsi="Times New Roman" w:cs="Times New Roman"/>
        </w:rPr>
        <w:t xml:space="preserve">. When drawing up the timetable the </w:t>
      </w:r>
      <w:r w:rsidR="00B20564" w:rsidRPr="00E124FF">
        <w:rPr>
          <w:rFonts w:ascii="Times New Roman" w:hAnsi="Times New Roman" w:cs="Times New Roman"/>
        </w:rPr>
        <w:t>court,</w:t>
      </w:r>
      <w:r w:rsidR="4252E0F4" w:rsidRPr="00E124FF">
        <w:rPr>
          <w:rFonts w:ascii="Times New Roman" w:hAnsi="Times New Roman" w:cs="Times New Roman"/>
        </w:rPr>
        <w:t xml:space="preserve"> will in particular have regard to –</w:t>
      </w:r>
    </w:p>
    <w:p w14:paraId="34E1EB2C" w14:textId="6B161354" w:rsidR="4252E0F4" w:rsidRPr="00E124FF" w:rsidRDefault="4252E0F4" w:rsidP="6E02F1F1">
      <w:pPr>
        <w:pStyle w:val="ListParagraph"/>
        <w:jc w:val="both"/>
        <w:rPr>
          <w:rFonts w:ascii="Times New Roman" w:hAnsi="Times New Roman" w:cs="Times New Roman"/>
        </w:rPr>
      </w:pPr>
      <w:r w:rsidRPr="00E124FF">
        <w:rPr>
          <w:rFonts w:ascii="Times New Roman" w:hAnsi="Times New Roman" w:cs="Times New Roman"/>
        </w:rPr>
        <w:t xml:space="preserve"> </w:t>
      </w:r>
    </w:p>
    <w:p w14:paraId="779F31D2" w14:textId="702DC6A9" w:rsidR="4252E0F4" w:rsidRPr="00E124FF" w:rsidRDefault="4252E0F4" w:rsidP="00A94445">
      <w:pPr>
        <w:pStyle w:val="ListParagraph"/>
        <w:numPr>
          <w:ilvl w:val="2"/>
          <w:numId w:val="15"/>
        </w:numPr>
        <w:jc w:val="both"/>
        <w:rPr>
          <w:rFonts w:ascii="Times New Roman" w:hAnsi="Times New Roman" w:cs="Times New Roman"/>
        </w:rPr>
      </w:pPr>
      <w:r w:rsidRPr="00E124FF">
        <w:rPr>
          <w:rFonts w:ascii="Times New Roman" w:hAnsi="Times New Roman" w:cs="Times New Roman"/>
        </w:rPr>
        <w:t>the impact which the timetable or any revised timetable would have on the welfare of the child to whom the application relates; and</w:t>
      </w:r>
    </w:p>
    <w:p w14:paraId="6D7FF06F" w14:textId="77777777" w:rsidR="00A94445" w:rsidRPr="00E124FF" w:rsidRDefault="00A94445" w:rsidP="00A94445">
      <w:pPr>
        <w:pStyle w:val="ListParagraph"/>
        <w:ind w:left="1800"/>
        <w:jc w:val="both"/>
        <w:rPr>
          <w:rFonts w:ascii="Times New Roman" w:hAnsi="Times New Roman" w:cs="Times New Roman"/>
        </w:rPr>
      </w:pPr>
    </w:p>
    <w:p w14:paraId="0A61FC01" w14:textId="66F4B77B" w:rsidR="4252E0F4" w:rsidRPr="00E124FF" w:rsidRDefault="4252E0F4" w:rsidP="00A94445">
      <w:pPr>
        <w:pStyle w:val="ListParagraph"/>
        <w:numPr>
          <w:ilvl w:val="2"/>
          <w:numId w:val="15"/>
        </w:numPr>
        <w:jc w:val="both"/>
        <w:rPr>
          <w:rFonts w:ascii="Times New Roman" w:hAnsi="Times New Roman" w:cs="Times New Roman"/>
        </w:rPr>
      </w:pPr>
      <w:r w:rsidRPr="00E124FF">
        <w:rPr>
          <w:rFonts w:ascii="Times New Roman" w:hAnsi="Times New Roman" w:cs="Times New Roman"/>
        </w:rPr>
        <w:t>the impact which the timetable or any revised timetable would have on the duration and conduct of the proceedings.</w:t>
      </w:r>
    </w:p>
    <w:p w14:paraId="3D8B9B0F" w14:textId="740C6557" w:rsidR="00894401" w:rsidRPr="006C0574" w:rsidRDefault="00E0292C" w:rsidP="006C0574">
      <w:pPr>
        <w:jc w:val="both"/>
        <w:rPr>
          <w:rFonts w:ascii="Times New Roman" w:hAnsi="Times New Roman" w:cs="Times New Roman"/>
          <w:b/>
          <w:bCs/>
          <w:i/>
          <w:iCs/>
        </w:rPr>
      </w:pPr>
      <w:r w:rsidRPr="006C0574">
        <w:rPr>
          <w:rFonts w:ascii="Times New Roman" w:hAnsi="Times New Roman" w:cs="Times New Roman"/>
          <w:b/>
          <w:bCs/>
          <w:i/>
          <w:iCs/>
        </w:rPr>
        <w:t>Issues to be considered at the CMH</w:t>
      </w:r>
    </w:p>
    <w:p w14:paraId="46714FD6" w14:textId="7F176AE5" w:rsidR="00E0292C" w:rsidRPr="006C0574" w:rsidRDefault="00E0292C" w:rsidP="006C0574">
      <w:pPr>
        <w:jc w:val="both"/>
        <w:rPr>
          <w:rFonts w:ascii="Times New Roman" w:hAnsi="Times New Roman" w:cs="Times New Roman"/>
          <w:u w:val="single"/>
        </w:rPr>
      </w:pPr>
      <w:r w:rsidRPr="006C0574">
        <w:rPr>
          <w:rFonts w:ascii="Times New Roman" w:hAnsi="Times New Roman" w:cs="Times New Roman"/>
          <w:u w:val="single"/>
        </w:rPr>
        <w:t xml:space="preserve">Threshold </w:t>
      </w:r>
    </w:p>
    <w:p w14:paraId="6437BB59" w14:textId="2CF94788" w:rsidR="00E0292C" w:rsidRPr="00E124FF" w:rsidRDefault="00A94445"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 In most public law cases the s</w:t>
      </w:r>
      <w:r w:rsidR="006C0574">
        <w:rPr>
          <w:rFonts w:ascii="Times New Roman" w:hAnsi="Times New Roman" w:cs="Times New Roman"/>
        </w:rPr>
        <w:t>.</w:t>
      </w:r>
      <w:r w:rsidRPr="00E124FF">
        <w:rPr>
          <w:rFonts w:ascii="Times New Roman" w:hAnsi="Times New Roman" w:cs="Times New Roman"/>
        </w:rPr>
        <w:t xml:space="preserve">31 threshold criteria does not require </w:t>
      </w:r>
      <w:r w:rsidR="00B20564">
        <w:rPr>
          <w:rFonts w:ascii="Times New Roman" w:hAnsi="Times New Roman" w:cs="Times New Roman"/>
        </w:rPr>
        <w:t xml:space="preserve">a contested hearing </w:t>
      </w:r>
      <w:r w:rsidRPr="00E124FF">
        <w:rPr>
          <w:rFonts w:ascii="Times New Roman" w:hAnsi="Times New Roman" w:cs="Times New Roman"/>
        </w:rPr>
        <w:t xml:space="preserve">yet in </w:t>
      </w:r>
      <w:r w:rsidR="00B20564">
        <w:rPr>
          <w:rFonts w:ascii="Times New Roman" w:hAnsi="Times New Roman" w:cs="Times New Roman"/>
        </w:rPr>
        <w:t>many</w:t>
      </w:r>
      <w:r w:rsidRPr="00E124FF">
        <w:rPr>
          <w:rFonts w:ascii="Times New Roman" w:hAnsi="Times New Roman" w:cs="Times New Roman"/>
        </w:rPr>
        <w:t xml:space="preserve"> cases threshold remains at large/not determined until very late in the proceedings.</w:t>
      </w:r>
      <w:r w:rsidR="006C0574">
        <w:rPr>
          <w:rFonts w:ascii="Times New Roman" w:hAnsi="Times New Roman" w:cs="Times New Roman"/>
        </w:rPr>
        <w:t xml:space="preserve"> </w:t>
      </w:r>
      <w:r w:rsidRPr="00E124FF">
        <w:rPr>
          <w:rFonts w:ascii="Times New Roman" w:hAnsi="Times New Roman" w:cs="Times New Roman"/>
        </w:rPr>
        <w:t>All parties and the court have a responsibility to resolve/determine/narrow threshold</w:t>
      </w:r>
      <w:r w:rsidR="00B20564">
        <w:rPr>
          <w:rFonts w:ascii="Times New Roman" w:hAnsi="Times New Roman" w:cs="Times New Roman"/>
        </w:rPr>
        <w:t xml:space="preserve"> issues </w:t>
      </w:r>
      <w:r w:rsidR="00B20564" w:rsidRPr="00E124FF">
        <w:rPr>
          <w:rFonts w:ascii="Times New Roman" w:hAnsi="Times New Roman" w:cs="Times New Roman"/>
        </w:rPr>
        <w:t>(</w:t>
      </w:r>
      <w:r w:rsidRPr="00E124FF">
        <w:rPr>
          <w:rFonts w:ascii="Times New Roman" w:hAnsi="Times New Roman" w:cs="Times New Roman"/>
        </w:rPr>
        <w:t xml:space="preserve">where appropriate) at an early stage of the proceedings, particularly </w:t>
      </w:r>
      <w:r w:rsidR="00B20564">
        <w:rPr>
          <w:rFonts w:ascii="Times New Roman" w:hAnsi="Times New Roman" w:cs="Times New Roman"/>
        </w:rPr>
        <w:t xml:space="preserve">at </w:t>
      </w:r>
      <w:r w:rsidRPr="00E124FF">
        <w:rPr>
          <w:rFonts w:ascii="Times New Roman" w:hAnsi="Times New Roman" w:cs="Times New Roman"/>
        </w:rPr>
        <w:t xml:space="preserve">the CMH.  </w:t>
      </w:r>
    </w:p>
    <w:p w14:paraId="3558D52D" w14:textId="77777777" w:rsidR="00E0292C" w:rsidRPr="00E124FF" w:rsidRDefault="00E0292C" w:rsidP="00E0292C">
      <w:pPr>
        <w:pStyle w:val="ListParagraph"/>
        <w:ind w:left="1080"/>
        <w:jc w:val="both"/>
        <w:rPr>
          <w:rFonts w:ascii="Times New Roman" w:hAnsi="Times New Roman" w:cs="Times New Roman"/>
        </w:rPr>
      </w:pPr>
    </w:p>
    <w:p w14:paraId="5C6ED5E1" w14:textId="2F9F425B" w:rsidR="00E0292C" w:rsidRPr="00E124FF" w:rsidRDefault="00A94445"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Parent</w:t>
      </w:r>
      <w:r w:rsidR="00E0292C" w:rsidRPr="00E124FF">
        <w:rPr>
          <w:rFonts w:ascii="Times New Roman" w:hAnsi="Times New Roman" w:cs="Times New Roman"/>
        </w:rPr>
        <w:t>al</w:t>
      </w:r>
      <w:r w:rsidRPr="00E124FF">
        <w:rPr>
          <w:rFonts w:ascii="Times New Roman" w:hAnsi="Times New Roman" w:cs="Times New Roman"/>
        </w:rPr>
        <w:t xml:space="preserve"> response documents must have been served as directed and </w:t>
      </w:r>
      <w:r w:rsidR="00B20564">
        <w:rPr>
          <w:rFonts w:ascii="Times New Roman" w:hAnsi="Times New Roman" w:cs="Times New Roman"/>
        </w:rPr>
        <w:t>must be</w:t>
      </w:r>
      <w:r w:rsidRPr="00E124FF">
        <w:rPr>
          <w:rFonts w:ascii="Times New Roman" w:hAnsi="Times New Roman" w:cs="Times New Roman"/>
        </w:rPr>
        <w:t xml:space="preserve"> discussed at the advocates meeting prior to the </w:t>
      </w:r>
      <w:r w:rsidR="00B20564" w:rsidRPr="00E124FF">
        <w:rPr>
          <w:rFonts w:ascii="Times New Roman" w:hAnsi="Times New Roman" w:cs="Times New Roman"/>
        </w:rPr>
        <w:t>CMH.</w:t>
      </w:r>
      <w:r w:rsidR="00B20564">
        <w:rPr>
          <w:rFonts w:ascii="Times New Roman" w:hAnsi="Times New Roman" w:cs="Times New Roman"/>
        </w:rPr>
        <w:t xml:space="preserve"> The Advocates’ Meeting held prior to the CMH</w:t>
      </w:r>
      <w:r w:rsidRPr="00E124FF">
        <w:rPr>
          <w:rFonts w:ascii="Times New Roman" w:hAnsi="Times New Roman" w:cs="Times New Roman"/>
        </w:rPr>
        <w:t xml:space="preserve"> offers </w:t>
      </w:r>
      <w:r w:rsidR="00B20564">
        <w:rPr>
          <w:rFonts w:ascii="Times New Roman" w:hAnsi="Times New Roman" w:cs="Times New Roman"/>
        </w:rPr>
        <w:t xml:space="preserve">an </w:t>
      </w:r>
      <w:r w:rsidRPr="00E124FF">
        <w:rPr>
          <w:rFonts w:ascii="Times New Roman" w:hAnsi="Times New Roman" w:cs="Times New Roman"/>
        </w:rPr>
        <w:t>opportunity to</w:t>
      </w:r>
      <w:r w:rsidR="00B20564">
        <w:rPr>
          <w:rFonts w:ascii="Times New Roman" w:hAnsi="Times New Roman" w:cs="Times New Roman"/>
        </w:rPr>
        <w:t xml:space="preserve"> consider </w:t>
      </w:r>
      <w:r w:rsidRPr="00E124FF">
        <w:rPr>
          <w:rFonts w:ascii="Times New Roman" w:hAnsi="Times New Roman" w:cs="Times New Roman"/>
        </w:rPr>
        <w:t xml:space="preserve">a suitable threshold document for judicial </w:t>
      </w:r>
      <w:r w:rsidR="00B20564">
        <w:rPr>
          <w:rFonts w:ascii="Times New Roman" w:hAnsi="Times New Roman" w:cs="Times New Roman"/>
        </w:rPr>
        <w:t>consideration</w:t>
      </w:r>
      <w:r w:rsidRPr="00E124FF">
        <w:rPr>
          <w:rFonts w:ascii="Times New Roman" w:hAnsi="Times New Roman" w:cs="Times New Roman"/>
        </w:rPr>
        <w:t xml:space="preserve">.  </w:t>
      </w:r>
    </w:p>
    <w:p w14:paraId="230FF7E6" w14:textId="77777777" w:rsidR="00E0292C" w:rsidRPr="00E124FF" w:rsidRDefault="00E0292C" w:rsidP="00E0292C">
      <w:pPr>
        <w:pStyle w:val="ListParagraph"/>
        <w:rPr>
          <w:rFonts w:ascii="Times New Roman" w:hAnsi="Times New Roman" w:cs="Times New Roman"/>
        </w:rPr>
      </w:pPr>
    </w:p>
    <w:p w14:paraId="0E719380" w14:textId="13A08D57" w:rsidR="00A94445" w:rsidRPr="00E124FF" w:rsidRDefault="00A94445"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Parties can expect judges to refuse applications for extensions of time to file response documents and for the judge, where appropriate, to </w:t>
      </w:r>
      <w:r w:rsidR="006C0574" w:rsidRPr="00E124FF">
        <w:rPr>
          <w:rFonts w:ascii="Times New Roman" w:hAnsi="Times New Roman" w:cs="Times New Roman"/>
        </w:rPr>
        <w:t>determine</w:t>
      </w:r>
      <w:r w:rsidR="006C0574">
        <w:rPr>
          <w:rFonts w:ascii="Times New Roman" w:hAnsi="Times New Roman" w:cs="Times New Roman"/>
        </w:rPr>
        <w:t xml:space="preserve"> </w:t>
      </w:r>
      <w:r w:rsidR="006C0574" w:rsidRPr="00E124FF">
        <w:rPr>
          <w:rFonts w:ascii="Times New Roman" w:hAnsi="Times New Roman" w:cs="Times New Roman"/>
        </w:rPr>
        <w:t>threshold</w:t>
      </w:r>
      <w:r w:rsidRPr="00E124FF">
        <w:rPr>
          <w:rFonts w:ascii="Times New Roman" w:hAnsi="Times New Roman" w:cs="Times New Roman"/>
        </w:rPr>
        <w:t xml:space="preserve"> </w:t>
      </w:r>
      <w:r w:rsidR="00B20564">
        <w:rPr>
          <w:rFonts w:ascii="Times New Roman" w:hAnsi="Times New Roman" w:cs="Times New Roman"/>
        </w:rPr>
        <w:t xml:space="preserve">on the evidence </w:t>
      </w:r>
      <w:r w:rsidRPr="00E124FF">
        <w:rPr>
          <w:rFonts w:ascii="Times New Roman" w:hAnsi="Times New Roman" w:cs="Times New Roman"/>
        </w:rPr>
        <w:t>at the CMH.</w:t>
      </w:r>
    </w:p>
    <w:p w14:paraId="4C0BE803" w14:textId="77777777" w:rsidR="00E0292C" w:rsidRPr="00E124FF" w:rsidRDefault="00E0292C" w:rsidP="006C0574">
      <w:pPr>
        <w:jc w:val="both"/>
        <w:rPr>
          <w:rFonts w:ascii="Times New Roman" w:hAnsi="Times New Roman" w:cs="Times New Roman"/>
          <w:u w:val="single"/>
        </w:rPr>
      </w:pPr>
      <w:r w:rsidRPr="00E124FF">
        <w:rPr>
          <w:rFonts w:ascii="Times New Roman" w:hAnsi="Times New Roman" w:cs="Times New Roman"/>
          <w:u w:val="single"/>
        </w:rPr>
        <w:t>Parenting Assessments</w:t>
      </w:r>
    </w:p>
    <w:p w14:paraId="7FD0A423" w14:textId="330F5CC9"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A Parenting Assessment Plan (</w:t>
      </w:r>
      <w:r w:rsidR="006C0574">
        <w:rPr>
          <w:rFonts w:ascii="Times New Roman" w:hAnsi="Times New Roman" w:cs="Times New Roman"/>
        </w:rPr>
        <w:t>“</w:t>
      </w:r>
      <w:r w:rsidRPr="00E124FF">
        <w:rPr>
          <w:rFonts w:ascii="Times New Roman" w:hAnsi="Times New Roman" w:cs="Times New Roman"/>
        </w:rPr>
        <w:t>PAP</w:t>
      </w:r>
      <w:r w:rsidR="006C0574">
        <w:rPr>
          <w:rFonts w:ascii="Times New Roman" w:hAnsi="Times New Roman" w:cs="Times New Roman"/>
        </w:rPr>
        <w:t>”</w:t>
      </w:r>
      <w:r w:rsidRPr="00E124FF">
        <w:rPr>
          <w:rFonts w:ascii="Times New Roman" w:hAnsi="Times New Roman" w:cs="Times New Roman"/>
        </w:rPr>
        <w:t xml:space="preserve">) will be directed to be filed and served before the CMH. If a </w:t>
      </w:r>
      <w:r w:rsidR="00C959A3" w:rsidRPr="00E124FF">
        <w:rPr>
          <w:rFonts w:ascii="Times New Roman" w:hAnsi="Times New Roman" w:cs="Times New Roman"/>
        </w:rPr>
        <w:t xml:space="preserve">parenting </w:t>
      </w:r>
      <w:r w:rsidR="00B20564" w:rsidRPr="00E124FF">
        <w:rPr>
          <w:rFonts w:ascii="Times New Roman" w:hAnsi="Times New Roman" w:cs="Times New Roman"/>
        </w:rPr>
        <w:t>assessment is</w:t>
      </w:r>
      <w:r w:rsidRPr="00E124FF">
        <w:rPr>
          <w:rFonts w:ascii="Times New Roman" w:hAnsi="Times New Roman" w:cs="Times New Roman"/>
        </w:rPr>
        <w:t xml:space="preserve"> to be conducted during the proceedings, the plan must set out why the assessment is required, what the focus of the assessment is, the timeline (dates of meetings) and the expectation of the parents. </w:t>
      </w:r>
    </w:p>
    <w:p w14:paraId="0235C5E2" w14:textId="77777777" w:rsidR="00E0292C" w:rsidRPr="00E124FF" w:rsidRDefault="00E0292C" w:rsidP="00E0292C">
      <w:pPr>
        <w:pStyle w:val="ListParagraph"/>
        <w:jc w:val="both"/>
        <w:rPr>
          <w:rFonts w:ascii="Times New Roman" w:hAnsi="Times New Roman" w:cs="Times New Roman"/>
        </w:rPr>
      </w:pPr>
    </w:p>
    <w:p w14:paraId="63F5299E" w14:textId="2E95ED48" w:rsidR="00E0292C" w:rsidRDefault="00C959A3" w:rsidP="006C0574">
      <w:pPr>
        <w:pStyle w:val="ListParagraph"/>
        <w:ind w:left="0"/>
        <w:jc w:val="both"/>
        <w:rPr>
          <w:rFonts w:ascii="Times New Roman" w:hAnsi="Times New Roman" w:cs="Times New Roman"/>
          <w:u w:val="single"/>
        </w:rPr>
      </w:pPr>
      <w:r w:rsidRPr="00E124FF">
        <w:rPr>
          <w:rFonts w:ascii="Times New Roman" w:hAnsi="Times New Roman" w:cs="Times New Roman"/>
          <w:u w:val="single"/>
        </w:rPr>
        <w:t>Initial Viability Assessments</w:t>
      </w:r>
    </w:p>
    <w:p w14:paraId="68BB29F3" w14:textId="77777777" w:rsidR="006C0574" w:rsidRPr="00E124FF" w:rsidRDefault="006C0574" w:rsidP="006C0574">
      <w:pPr>
        <w:pStyle w:val="ListParagraph"/>
        <w:ind w:left="0"/>
        <w:jc w:val="both"/>
        <w:rPr>
          <w:rFonts w:ascii="Times New Roman" w:hAnsi="Times New Roman" w:cs="Times New Roman"/>
          <w:u w:val="single"/>
        </w:rPr>
      </w:pPr>
    </w:p>
    <w:p w14:paraId="065F26B9" w14:textId="0D502618"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Alternative carers must be identified and assessed at the earliest opportunity, including in pre-proceedings.  Early </w:t>
      </w:r>
      <w:r w:rsidR="00B20564">
        <w:rPr>
          <w:rFonts w:ascii="Times New Roman" w:hAnsi="Times New Roman" w:cs="Times New Roman"/>
        </w:rPr>
        <w:t>Initial Viability Assessments (</w:t>
      </w:r>
      <w:r w:rsidR="006C0574">
        <w:rPr>
          <w:rFonts w:ascii="Times New Roman" w:hAnsi="Times New Roman" w:cs="Times New Roman"/>
        </w:rPr>
        <w:t>“</w:t>
      </w:r>
      <w:r w:rsidRPr="00E124FF">
        <w:rPr>
          <w:rFonts w:ascii="Times New Roman" w:hAnsi="Times New Roman" w:cs="Times New Roman"/>
        </w:rPr>
        <w:t>IVAs</w:t>
      </w:r>
      <w:r w:rsidR="006C0574">
        <w:rPr>
          <w:rFonts w:ascii="Times New Roman" w:hAnsi="Times New Roman" w:cs="Times New Roman"/>
        </w:rPr>
        <w:t>”</w:t>
      </w:r>
      <w:r w:rsidR="00B20564">
        <w:rPr>
          <w:rFonts w:ascii="Times New Roman" w:hAnsi="Times New Roman" w:cs="Times New Roman"/>
        </w:rPr>
        <w:t>)</w:t>
      </w:r>
      <w:r w:rsidRPr="00E124FF">
        <w:rPr>
          <w:rFonts w:ascii="Times New Roman" w:hAnsi="Times New Roman" w:cs="Times New Roman"/>
        </w:rPr>
        <w:t xml:space="preserve"> mean that cases are concluded more quickly. </w:t>
      </w:r>
    </w:p>
    <w:p w14:paraId="0B5D476D" w14:textId="77777777" w:rsidR="00E0292C" w:rsidRPr="00E124FF" w:rsidRDefault="00E0292C" w:rsidP="00E0292C">
      <w:pPr>
        <w:pStyle w:val="ListParagraph"/>
        <w:jc w:val="both"/>
        <w:rPr>
          <w:rFonts w:ascii="Times New Roman" w:hAnsi="Times New Roman" w:cs="Times New Roman"/>
        </w:rPr>
      </w:pPr>
    </w:p>
    <w:p w14:paraId="1489C743" w14:textId="0F8AFE6B"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Unless the local authority has already convened an effective Family Group Conference</w:t>
      </w:r>
      <w:r w:rsidR="0087148E">
        <w:rPr>
          <w:rFonts w:ascii="Times New Roman" w:hAnsi="Times New Roman" w:cs="Times New Roman"/>
        </w:rPr>
        <w:t xml:space="preserve"> (</w:t>
      </w:r>
      <w:r w:rsidR="006C0574">
        <w:rPr>
          <w:rFonts w:ascii="Times New Roman" w:hAnsi="Times New Roman" w:cs="Times New Roman"/>
        </w:rPr>
        <w:t>“</w:t>
      </w:r>
      <w:r w:rsidR="0087148E">
        <w:rPr>
          <w:rFonts w:ascii="Times New Roman" w:hAnsi="Times New Roman" w:cs="Times New Roman"/>
        </w:rPr>
        <w:t>FGC</w:t>
      </w:r>
      <w:r w:rsidR="006C0574">
        <w:rPr>
          <w:rFonts w:ascii="Times New Roman" w:hAnsi="Times New Roman" w:cs="Times New Roman"/>
        </w:rPr>
        <w:t>”</w:t>
      </w:r>
      <w:r w:rsidR="0087148E">
        <w:rPr>
          <w:rFonts w:ascii="Times New Roman" w:hAnsi="Times New Roman" w:cs="Times New Roman"/>
        </w:rPr>
        <w:t>)</w:t>
      </w:r>
      <w:r w:rsidRPr="00E124FF">
        <w:rPr>
          <w:rFonts w:ascii="Times New Roman" w:hAnsi="Times New Roman" w:cs="Times New Roman"/>
        </w:rPr>
        <w:t xml:space="preserve"> or equivalent prior to issuing its application, within 14 days of issue the local authority </w:t>
      </w:r>
      <w:r w:rsidR="0087148E">
        <w:rPr>
          <w:rFonts w:ascii="Times New Roman" w:hAnsi="Times New Roman" w:cs="Times New Roman"/>
        </w:rPr>
        <w:t>is expected to</w:t>
      </w:r>
      <w:r w:rsidRPr="00E124FF">
        <w:rPr>
          <w:rFonts w:ascii="Times New Roman" w:hAnsi="Times New Roman" w:cs="Times New Roman"/>
        </w:rPr>
        <w:t xml:space="preserve"> convene a </w:t>
      </w:r>
      <w:r w:rsidR="006C0574">
        <w:rPr>
          <w:rFonts w:ascii="Times New Roman" w:hAnsi="Times New Roman" w:cs="Times New Roman"/>
        </w:rPr>
        <w:t>FGC</w:t>
      </w:r>
      <w:r w:rsidRPr="00E124FF">
        <w:rPr>
          <w:rFonts w:ascii="Times New Roman" w:hAnsi="Times New Roman" w:cs="Times New Roman"/>
        </w:rPr>
        <w:t xml:space="preserve"> or equivalent to ensure that individuals who may support the family or may be assessed as alternative carers are identified.</w:t>
      </w:r>
    </w:p>
    <w:p w14:paraId="04AE24B1" w14:textId="77777777" w:rsidR="00E0292C" w:rsidRPr="00E124FF" w:rsidRDefault="00E0292C" w:rsidP="00E0292C">
      <w:pPr>
        <w:pStyle w:val="ListParagraph"/>
        <w:jc w:val="both"/>
        <w:rPr>
          <w:rFonts w:ascii="Times New Roman" w:hAnsi="Times New Roman" w:cs="Times New Roman"/>
        </w:rPr>
      </w:pPr>
    </w:p>
    <w:p w14:paraId="27C25B7D" w14:textId="42AADA5E"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Parents will be told by the court that a failure to identify potential carers </w:t>
      </w:r>
      <w:r w:rsidR="0087148E">
        <w:rPr>
          <w:rFonts w:ascii="Times New Roman" w:hAnsi="Times New Roman" w:cs="Times New Roman"/>
        </w:rPr>
        <w:t xml:space="preserve">early </w:t>
      </w:r>
      <w:r w:rsidRPr="00E124FF">
        <w:rPr>
          <w:rFonts w:ascii="Times New Roman" w:hAnsi="Times New Roman" w:cs="Times New Roman"/>
        </w:rPr>
        <w:t>may result in those people not being assessed because of the resulting harmful delay in planning for the child’s future.</w:t>
      </w:r>
    </w:p>
    <w:p w14:paraId="663CA54C" w14:textId="77777777" w:rsidR="00E0292C" w:rsidRPr="00E124FF" w:rsidRDefault="00E0292C" w:rsidP="00E0292C">
      <w:pPr>
        <w:pStyle w:val="ListParagraph"/>
        <w:rPr>
          <w:rFonts w:ascii="Times New Roman" w:hAnsi="Times New Roman" w:cs="Times New Roman"/>
        </w:rPr>
      </w:pPr>
    </w:p>
    <w:p w14:paraId="3F9E3B1D" w14:textId="1CC2E7BF"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A parent putting forward an alternative carer must provide full names, addresses, telephone number and email address a</w:t>
      </w:r>
      <w:r w:rsidR="0087148E">
        <w:rPr>
          <w:rFonts w:ascii="Times New Roman" w:hAnsi="Times New Roman" w:cs="Times New Roman"/>
        </w:rPr>
        <w:t>nd have</w:t>
      </w:r>
      <w:r w:rsidRPr="00E124FF">
        <w:rPr>
          <w:rFonts w:ascii="Times New Roman" w:hAnsi="Times New Roman" w:cs="Times New Roman"/>
        </w:rPr>
        <w:t xml:space="preserve"> spoken to the proposed carer in advance.</w:t>
      </w:r>
    </w:p>
    <w:p w14:paraId="344E8D98" w14:textId="77777777" w:rsidR="00E0292C" w:rsidRPr="00E124FF" w:rsidRDefault="00E0292C" w:rsidP="00E0292C">
      <w:pPr>
        <w:pStyle w:val="ListParagraph"/>
        <w:jc w:val="both"/>
        <w:rPr>
          <w:rFonts w:ascii="Times New Roman" w:hAnsi="Times New Roman" w:cs="Times New Roman"/>
        </w:rPr>
      </w:pPr>
    </w:p>
    <w:p w14:paraId="449AD3B0" w14:textId="71AF2DC2"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The local authority will complete the IVA within 14 days of having been provided with full alternative carer information (or </w:t>
      </w:r>
      <w:r w:rsidR="0087148E" w:rsidRPr="00E124FF">
        <w:rPr>
          <w:rFonts w:ascii="Times New Roman" w:hAnsi="Times New Roman" w:cs="Times New Roman"/>
        </w:rPr>
        <w:t>if</w:t>
      </w:r>
      <w:r w:rsidRPr="00E124FF">
        <w:rPr>
          <w:rFonts w:ascii="Times New Roman" w:hAnsi="Times New Roman" w:cs="Times New Roman"/>
        </w:rPr>
        <w:t xml:space="preserve"> removal from home is sought then more promptly).  </w:t>
      </w:r>
    </w:p>
    <w:p w14:paraId="02B7EE1E" w14:textId="77777777" w:rsidR="00E0292C" w:rsidRPr="00E124FF" w:rsidRDefault="00E0292C" w:rsidP="00E0292C">
      <w:pPr>
        <w:pStyle w:val="ListParagraph"/>
        <w:rPr>
          <w:rFonts w:ascii="Times New Roman" w:hAnsi="Times New Roman" w:cs="Times New Roman"/>
        </w:rPr>
      </w:pPr>
    </w:p>
    <w:p w14:paraId="6536ACF1" w14:textId="36767009"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 The court will not ordinarily require the local </w:t>
      </w:r>
      <w:r w:rsidR="005A400A" w:rsidRPr="00E124FF">
        <w:rPr>
          <w:rFonts w:ascii="Times New Roman" w:hAnsi="Times New Roman" w:cs="Times New Roman"/>
        </w:rPr>
        <w:t>authority to</w:t>
      </w:r>
      <w:r w:rsidRPr="00E124FF">
        <w:rPr>
          <w:rFonts w:ascii="Times New Roman" w:hAnsi="Times New Roman" w:cs="Times New Roman"/>
        </w:rPr>
        <w:t xml:space="preserve"> undertake more than 3 IVAs at any one time.</w:t>
      </w:r>
    </w:p>
    <w:p w14:paraId="6E74F294" w14:textId="7D17F835" w:rsidR="00E0292C" w:rsidRPr="00E124FF" w:rsidRDefault="00E0292C" w:rsidP="006C0574">
      <w:pPr>
        <w:jc w:val="both"/>
        <w:rPr>
          <w:rFonts w:ascii="Times New Roman" w:hAnsi="Times New Roman" w:cs="Times New Roman"/>
          <w:u w:val="single"/>
        </w:rPr>
      </w:pPr>
      <w:r w:rsidRPr="00E124FF">
        <w:rPr>
          <w:rFonts w:ascii="Times New Roman" w:hAnsi="Times New Roman" w:cs="Times New Roman"/>
          <w:u w:val="single"/>
        </w:rPr>
        <w:t xml:space="preserve">Full </w:t>
      </w:r>
      <w:r w:rsidR="006C0574">
        <w:rPr>
          <w:rFonts w:ascii="Times New Roman" w:hAnsi="Times New Roman" w:cs="Times New Roman"/>
          <w:u w:val="single"/>
        </w:rPr>
        <w:t>A</w:t>
      </w:r>
      <w:r w:rsidRPr="00E124FF">
        <w:rPr>
          <w:rFonts w:ascii="Times New Roman" w:hAnsi="Times New Roman" w:cs="Times New Roman"/>
          <w:u w:val="single"/>
        </w:rPr>
        <w:t>ssessments (</w:t>
      </w:r>
      <w:r w:rsidR="006C0574">
        <w:rPr>
          <w:rFonts w:ascii="Times New Roman" w:hAnsi="Times New Roman" w:cs="Times New Roman"/>
          <w:u w:val="single"/>
        </w:rPr>
        <w:t>C</w:t>
      </w:r>
      <w:r w:rsidRPr="00E124FF">
        <w:rPr>
          <w:rFonts w:ascii="Times New Roman" w:hAnsi="Times New Roman" w:cs="Times New Roman"/>
          <w:u w:val="single"/>
        </w:rPr>
        <w:t xml:space="preserve">onnected </w:t>
      </w:r>
      <w:r w:rsidR="006C0574">
        <w:rPr>
          <w:rFonts w:ascii="Times New Roman" w:hAnsi="Times New Roman" w:cs="Times New Roman"/>
          <w:u w:val="single"/>
        </w:rPr>
        <w:t>P</w:t>
      </w:r>
      <w:r w:rsidRPr="00E124FF">
        <w:rPr>
          <w:rFonts w:ascii="Times New Roman" w:hAnsi="Times New Roman" w:cs="Times New Roman"/>
          <w:u w:val="single"/>
        </w:rPr>
        <w:t>erson/S</w:t>
      </w:r>
      <w:r w:rsidR="006C0574">
        <w:rPr>
          <w:rFonts w:ascii="Times New Roman" w:hAnsi="Times New Roman" w:cs="Times New Roman"/>
          <w:u w:val="single"/>
        </w:rPr>
        <w:t xml:space="preserve">pecial </w:t>
      </w:r>
      <w:r w:rsidRPr="00E124FF">
        <w:rPr>
          <w:rFonts w:ascii="Times New Roman" w:hAnsi="Times New Roman" w:cs="Times New Roman"/>
          <w:u w:val="single"/>
        </w:rPr>
        <w:t>G</w:t>
      </w:r>
      <w:r w:rsidR="006C0574">
        <w:rPr>
          <w:rFonts w:ascii="Times New Roman" w:hAnsi="Times New Roman" w:cs="Times New Roman"/>
          <w:u w:val="single"/>
        </w:rPr>
        <w:t xml:space="preserve">uardianship </w:t>
      </w:r>
      <w:r w:rsidRPr="00E124FF">
        <w:rPr>
          <w:rFonts w:ascii="Times New Roman" w:hAnsi="Times New Roman" w:cs="Times New Roman"/>
          <w:u w:val="single"/>
        </w:rPr>
        <w:t>O</w:t>
      </w:r>
      <w:r w:rsidR="006C0574">
        <w:rPr>
          <w:rFonts w:ascii="Times New Roman" w:hAnsi="Times New Roman" w:cs="Times New Roman"/>
          <w:u w:val="single"/>
        </w:rPr>
        <w:t>rder (“SGO”)</w:t>
      </w:r>
      <w:r w:rsidRPr="00E124FF">
        <w:rPr>
          <w:rFonts w:ascii="Times New Roman" w:hAnsi="Times New Roman" w:cs="Times New Roman"/>
          <w:u w:val="single"/>
        </w:rPr>
        <w:t>)</w:t>
      </w:r>
    </w:p>
    <w:p w14:paraId="178B1A38" w14:textId="77777777"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Full assessments will begin immediately on completion of a positive IVA and will be completed within 13 weeks of the IVA commencing.  </w:t>
      </w:r>
    </w:p>
    <w:p w14:paraId="4E7992F6" w14:textId="77777777" w:rsidR="00E0292C" w:rsidRPr="00E124FF" w:rsidRDefault="00E0292C" w:rsidP="00E0292C">
      <w:pPr>
        <w:pStyle w:val="ListParagraph"/>
        <w:jc w:val="both"/>
        <w:rPr>
          <w:rFonts w:ascii="Times New Roman" w:hAnsi="Times New Roman" w:cs="Times New Roman"/>
        </w:rPr>
      </w:pPr>
    </w:p>
    <w:p w14:paraId="2907BF2F" w14:textId="77777777"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DBS checks should be requested as soon as a positive IVA is completed. </w:t>
      </w:r>
    </w:p>
    <w:p w14:paraId="293E436B" w14:textId="77777777" w:rsidR="00E0292C" w:rsidRPr="00E124FF" w:rsidRDefault="00E0292C" w:rsidP="00E0292C">
      <w:pPr>
        <w:pStyle w:val="ListParagraph"/>
        <w:rPr>
          <w:rFonts w:ascii="Times New Roman" w:hAnsi="Times New Roman" w:cs="Times New Roman"/>
        </w:rPr>
      </w:pPr>
    </w:p>
    <w:p w14:paraId="54AD3570" w14:textId="3760DE4B" w:rsidR="00E0292C" w:rsidRPr="00E124FF" w:rsidRDefault="00E0292C" w:rsidP="00E0292C">
      <w:pPr>
        <w:pStyle w:val="ListParagraph"/>
        <w:numPr>
          <w:ilvl w:val="0"/>
          <w:numId w:val="13"/>
        </w:numPr>
        <w:spacing w:line="259" w:lineRule="auto"/>
        <w:jc w:val="both"/>
        <w:rPr>
          <w:rFonts w:ascii="Times New Roman" w:hAnsi="Times New Roman" w:cs="Times New Roman"/>
        </w:rPr>
      </w:pPr>
      <w:r w:rsidRPr="00E124FF">
        <w:rPr>
          <w:rFonts w:ascii="Times New Roman" w:hAnsi="Times New Roman" w:cs="Times New Roman"/>
        </w:rPr>
        <w:t xml:space="preserve">The local authority should make it clear to the person being assessed that they must cooperate with DBS requirements (including identity checks) within a short period of time. </w:t>
      </w:r>
      <w:r w:rsidR="0087148E" w:rsidRPr="00E124FF">
        <w:rPr>
          <w:rFonts w:ascii="Times New Roman" w:hAnsi="Times New Roman" w:cs="Times New Roman"/>
        </w:rPr>
        <w:t>If</w:t>
      </w:r>
      <w:r w:rsidRPr="00E124FF">
        <w:rPr>
          <w:rFonts w:ascii="Times New Roman" w:hAnsi="Times New Roman" w:cs="Times New Roman"/>
        </w:rPr>
        <w:t xml:space="preserve"> they do not</w:t>
      </w:r>
      <w:r w:rsidR="0087148E">
        <w:rPr>
          <w:rFonts w:ascii="Times New Roman" w:hAnsi="Times New Roman" w:cs="Times New Roman"/>
        </w:rPr>
        <w:t>,</w:t>
      </w:r>
      <w:r w:rsidRPr="00E124FF">
        <w:rPr>
          <w:rFonts w:ascii="Times New Roman" w:hAnsi="Times New Roman" w:cs="Times New Roman"/>
        </w:rPr>
        <w:t xml:space="preserve"> the court should be asked to consider whether the assessment should continue.  The </w:t>
      </w:r>
      <w:r w:rsidR="0087148E" w:rsidRPr="00E124FF">
        <w:rPr>
          <w:rFonts w:ascii="Times New Roman" w:hAnsi="Times New Roman" w:cs="Times New Roman"/>
        </w:rPr>
        <w:t xml:space="preserve">same </w:t>
      </w:r>
      <w:r w:rsidR="000E486D">
        <w:rPr>
          <w:rFonts w:ascii="Times New Roman" w:hAnsi="Times New Roman" w:cs="Times New Roman"/>
        </w:rPr>
        <w:t>applies</w:t>
      </w:r>
      <w:r w:rsidRPr="00E124FF">
        <w:rPr>
          <w:rFonts w:ascii="Times New Roman" w:hAnsi="Times New Roman" w:cs="Times New Roman"/>
        </w:rPr>
        <w:t xml:space="preserve"> to medicals and references.</w:t>
      </w:r>
    </w:p>
    <w:p w14:paraId="469E6F2F" w14:textId="6A378A4F" w:rsidR="00AA60E9" w:rsidRPr="006C0574" w:rsidRDefault="00E0292C" w:rsidP="006C0574">
      <w:pPr>
        <w:jc w:val="both"/>
        <w:rPr>
          <w:rFonts w:ascii="Times New Roman" w:hAnsi="Times New Roman" w:cs="Times New Roman"/>
          <w:u w:val="single"/>
        </w:rPr>
      </w:pPr>
      <w:r w:rsidRPr="006C0574">
        <w:rPr>
          <w:rFonts w:ascii="Times New Roman" w:hAnsi="Times New Roman" w:cs="Times New Roman"/>
          <w:u w:val="single"/>
        </w:rPr>
        <w:t xml:space="preserve">Whether a </w:t>
      </w:r>
      <w:r w:rsidR="006C0574">
        <w:rPr>
          <w:rFonts w:ascii="Times New Roman" w:hAnsi="Times New Roman" w:cs="Times New Roman"/>
          <w:u w:val="single"/>
        </w:rPr>
        <w:t>Finding of Fact Hearing (“FFH”)</w:t>
      </w:r>
      <w:r w:rsidRPr="006C0574">
        <w:rPr>
          <w:rFonts w:ascii="Times New Roman" w:hAnsi="Times New Roman" w:cs="Times New Roman"/>
          <w:u w:val="single"/>
        </w:rPr>
        <w:t xml:space="preserve"> or </w:t>
      </w:r>
      <w:r w:rsidR="006C0574">
        <w:rPr>
          <w:rFonts w:ascii="Times New Roman" w:hAnsi="Times New Roman" w:cs="Times New Roman"/>
          <w:u w:val="single"/>
        </w:rPr>
        <w:t>S</w:t>
      </w:r>
      <w:r w:rsidRPr="006C0574">
        <w:rPr>
          <w:rFonts w:ascii="Times New Roman" w:hAnsi="Times New Roman" w:cs="Times New Roman"/>
          <w:u w:val="single"/>
        </w:rPr>
        <w:t xml:space="preserve">plit </w:t>
      </w:r>
      <w:r w:rsidR="006C0574">
        <w:rPr>
          <w:rFonts w:ascii="Times New Roman" w:hAnsi="Times New Roman" w:cs="Times New Roman"/>
          <w:u w:val="single"/>
        </w:rPr>
        <w:t>H</w:t>
      </w:r>
      <w:r w:rsidRPr="006C0574">
        <w:rPr>
          <w:rFonts w:ascii="Times New Roman" w:hAnsi="Times New Roman" w:cs="Times New Roman"/>
          <w:u w:val="single"/>
        </w:rPr>
        <w:t xml:space="preserve">earing is </w:t>
      </w:r>
      <w:r w:rsidR="006C0574">
        <w:rPr>
          <w:rFonts w:ascii="Times New Roman" w:hAnsi="Times New Roman" w:cs="Times New Roman"/>
          <w:u w:val="single"/>
        </w:rPr>
        <w:t>N</w:t>
      </w:r>
      <w:r w:rsidRPr="006C0574">
        <w:rPr>
          <w:rFonts w:ascii="Times New Roman" w:hAnsi="Times New Roman" w:cs="Times New Roman"/>
          <w:u w:val="single"/>
        </w:rPr>
        <w:t>ecessary</w:t>
      </w:r>
    </w:p>
    <w:p w14:paraId="332CF0F6" w14:textId="235FB27F" w:rsidR="00E0292C" w:rsidRPr="00E124FF" w:rsidRDefault="00AA60E9" w:rsidP="00E0292C">
      <w:pPr>
        <w:pStyle w:val="ListParagraph"/>
        <w:numPr>
          <w:ilvl w:val="0"/>
          <w:numId w:val="13"/>
        </w:numPr>
        <w:jc w:val="both"/>
        <w:rPr>
          <w:rStyle w:val="normaltextrun"/>
          <w:rFonts w:ascii="Times New Roman" w:hAnsi="Times New Roman" w:cs="Times New Roman"/>
        </w:rPr>
      </w:pPr>
      <w:r w:rsidRPr="00E124FF">
        <w:rPr>
          <w:rStyle w:val="normaltextrun"/>
          <w:rFonts w:ascii="Times New Roman" w:hAnsi="Times New Roman" w:cs="Times New Roman"/>
        </w:rPr>
        <w:t xml:space="preserve">The question of whether a </w:t>
      </w:r>
      <w:r w:rsidR="006C0574">
        <w:rPr>
          <w:rStyle w:val="normaltextrun"/>
          <w:rFonts w:ascii="Times New Roman" w:hAnsi="Times New Roman" w:cs="Times New Roman"/>
        </w:rPr>
        <w:t>FFH</w:t>
      </w:r>
      <w:r w:rsidRPr="00E124FF">
        <w:rPr>
          <w:rStyle w:val="normaltextrun"/>
          <w:rFonts w:ascii="Times New Roman" w:hAnsi="Times New Roman" w:cs="Times New Roman"/>
        </w:rPr>
        <w:t xml:space="preserve"> is held as part of public law </w:t>
      </w:r>
      <w:r w:rsidR="0092088A" w:rsidRPr="00E124FF">
        <w:rPr>
          <w:rStyle w:val="normaltextrun"/>
          <w:rFonts w:ascii="Times New Roman" w:hAnsi="Times New Roman" w:cs="Times New Roman"/>
        </w:rPr>
        <w:t>proceedings</w:t>
      </w:r>
      <w:r w:rsidRPr="00E124FF">
        <w:rPr>
          <w:rStyle w:val="normaltextrun"/>
          <w:rFonts w:ascii="Times New Roman" w:hAnsi="Times New Roman" w:cs="Times New Roman"/>
        </w:rPr>
        <w:t xml:space="preserve"> is a matter for the court’s discretion. </w:t>
      </w:r>
    </w:p>
    <w:p w14:paraId="44FDF982" w14:textId="77777777" w:rsidR="00E0292C" w:rsidRPr="00E124FF" w:rsidRDefault="00E0292C" w:rsidP="00E0292C">
      <w:pPr>
        <w:pStyle w:val="ListParagraph"/>
        <w:ind w:left="1080"/>
        <w:jc w:val="both"/>
        <w:rPr>
          <w:rStyle w:val="normaltextrun"/>
          <w:rFonts w:ascii="Times New Roman" w:hAnsi="Times New Roman" w:cs="Times New Roman"/>
        </w:rPr>
      </w:pPr>
    </w:p>
    <w:p w14:paraId="36C0934E" w14:textId="66DD3BC9" w:rsidR="00E0292C" w:rsidRPr="00E124FF" w:rsidRDefault="00AA60E9" w:rsidP="00E0292C">
      <w:pPr>
        <w:pStyle w:val="ListParagraph"/>
        <w:numPr>
          <w:ilvl w:val="0"/>
          <w:numId w:val="13"/>
        </w:numPr>
        <w:jc w:val="both"/>
        <w:rPr>
          <w:rStyle w:val="normaltextrun"/>
          <w:rFonts w:ascii="Times New Roman" w:hAnsi="Times New Roman" w:cs="Times New Roman"/>
        </w:rPr>
      </w:pPr>
      <w:r w:rsidRPr="00E124FF">
        <w:rPr>
          <w:rStyle w:val="normaltextrun"/>
          <w:rFonts w:ascii="Times New Roman" w:hAnsi="Times New Roman" w:cs="Times New Roman"/>
        </w:rPr>
        <w:t xml:space="preserve">The legal principles to be applied when making that decision are as set out in </w:t>
      </w:r>
      <w:r w:rsidRPr="006C0574">
        <w:rPr>
          <w:rStyle w:val="normaltextrun"/>
          <w:rFonts w:ascii="Times New Roman" w:hAnsi="Times New Roman" w:cs="Times New Roman"/>
          <w:i/>
          <w:iCs/>
          <w:u w:val="single"/>
        </w:rPr>
        <w:t>A Coun</w:t>
      </w:r>
      <w:r w:rsidR="00504302" w:rsidRPr="006C0574">
        <w:rPr>
          <w:rStyle w:val="normaltextrun"/>
          <w:rFonts w:ascii="Times New Roman" w:hAnsi="Times New Roman" w:cs="Times New Roman"/>
          <w:i/>
          <w:iCs/>
          <w:u w:val="single"/>
        </w:rPr>
        <w:t>ty</w:t>
      </w:r>
      <w:r w:rsidRPr="006C0574">
        <w:rPr>
          <w:rStyle w:val="normaltextrun"/>
          <w:rFonts w:ascii="Times New Roman" w:hAnsi="Times New Roman" w:cs="Times New Roman"/>
          <w:i/>
          <w:iCs/>
          <w:u w:val="single"/>
        </w:rPr>
        <w:t xml:space="preserve"> Council</w:t>
      </w:r>
      <w:r w:rsidR="00504302" w:rsidRPr="006C0574">
        <w:rPr>
          <w:rStyle w:val="normaltextrun"/>
          <w:rFonts w:ascii="Times New Roman" w:hAnsi="Times New Roman" w:cs="Times New Roman"/>
          <w:i/>
          <w:iCs/>
          <w:u w:val="single"/>
        </w:rPr>
        <w:t xml:space="preserve"> v </w:t>
      </w:r>
      <w:r w:rsidRPr="006C0574">
        <w:rPr>
          <w:rStyle w:val="normaltextrun"/>
          <w:rFonts w:ascii="Times New Roman" w:hAnsi="Times New Roman" w:cs="Times New Roman"/>
          <w:i/>
          <w:iCs/>
          <w:u w:val="single"/>
        </w:rPr>
        <w:t xml:space="preserve">  DP </w:t>
      </w:r>
      <w:r w:rsidRPr="00E124FF">
        <w:rPr>
          <w:rStyle w:val="normaltextrun"/>
          <w:rFonts w:ascii="Times New Roman" w:hAnsi="Times New Roman" w:cs="Times New Roman"/>
          <w:u w:val="single"/>
        </w:rPr>
        <w:t>[2005] EWHC 1593</w:t>
      </w:r>
      <w:r w:rsidRPr="00E124FF">
        <w:rPr>
          <w:rStyle w:val="normaltextrun"/>
          <w:rFonts w:ascii="Times New Roman" w:hAnsi="Times New Roman" w:cs="Times New Roman"/>
        </w:rPr>
        <w:t xml:space="preserve"> as approved and developed in </w:t>
      </w:r>
      <w:r w:rsidRPr="006C0574">
        <w:rPr>
          <w:rStyle w:val="normaltextrun"/>
          <w:rFonts w:ascii="Times New Roman" w:hAnsi="Times New Roman" w:cs="Times New Roman"/>
          <w:i/>
          <w:iCs/>
          <w:u w:val="single"/>
        </w:rPr>
        <w:t>H-D-H (Children</w:t>
      </w:r>
      <w:r w:rsidR="006C0574" w:rsidRPr="006C0574">
        <w:rPr>
          <w:rStyle w:val="normaltextrun"/>
          <w:rFonts w:ascii="Times New Roman" w:hAnsi="Times New Roman" w:cs="Times New Roman"/>
          <w:i/>
          <w:iCs/>
          <w:u w:val="single"/>
        </w:rPr>
        <w:t>) (</w:t>
      </w:r>
      <w:r w:rsidRPr="006C0574">
        <w:rPr>
          <w:rStyle w:val="normaltextrun"/>
          <w:rFonts w:ascii="Times New Roman" w:hAnsi="Times New Roman" w:cs="Times New Roman"/>
          <w:i/>
          <w:iCs/>
          <w:u w:val="single"/>
        </w:rPr>
        <w:t>Practice</w:t>
      </w:r>
      <w:r w:rsidR="006C0574" w:rsidRPr="006C0574">
        <w:rPr>
          <w:rStyle w:val="normaltextrun"/>
          <w:rFonts w:ascii="Times New Roman" w:hAnsi="Times New Roman" w:cs="Times New Roman"/>
          <w:i/>
          <w:iCs/>
          <w:u w:val="single"/>
        </w:rPr>
        <w:t xml:space="preserve"> </w:t>
      </w:r>
      <w:r w:rsidRPr="006C0574">
        <w:rPr>
          <w:rStyle w:val="normaltextrun"/>
          <w:rFonts w:ascii="Times New Roman" w:hAnsi="Times New Roman" w:cs="Times New Roman"/>
          <w:i/>
          <w:iCs/>
          <w:u w:val="single"/>
        </w:rPr>
        <w:t>Note)</w:t>
      </w:r>
      <w:r w:rsidR="006C0574" w:rsidRPr="006C0574">
        <w:rPr>
          <w:rStyle w:val="normaltextrun"/>
          <w:rFonts w:ascii="Times New Roman" w:hAnsi="Times New Roman" w:cs="Times New Roman"/>
          <w:i/>
          <w:iCs/>
          <w:u w:val="single"/>
        </w:rPr>
        <w:t xml:space="preserve"> </w:t>
      </w:r>
      <w:r w:rsidRPr="00E124FF">
        <w:rPr>
          <w:rStyle w:val="normaltextrun"/>
          <w:rFonts w:ascii="Times New Roman" w:hAnsi="Times New Roman" w:cs="Times New Roman"/>
          <w:u w:val="single"/>
        </w:rPr>
        <w:t>[2021] EWCA Civ 1192</w:t>
      </w:r>
      <w:r w:rsidRPr="00E124FF">
        <w:rPr>
          <w:rStyle w:val="superscript"/>
          <w:rFonts w:ascii="Times New Roman" w:hAnsi="Times New Roman" w:cs="Times New Roman"/>
          <w:vertAlign w:val="superscript"/>
        </w:rPr>
        <w:t>65</w:t>
      </w:r>
      <w:r w:rsidRPr="00E124FF">
        <w:rPr>
          <w:rStyle w:val="normaltextrun"/>
          <w:rFonts w:ascii="Times New Roman" w:hAnsi="Times New Roman" w:cs="Times New Roman"/>
        </w:rPr>
        <w:t xml:space="preserve">. Recently in </w:t>
      </w:r>
      <w:r w:rsidRPr="006C0574">
        <w:rPr>
          <w:rStyle w:val="normaltextrun"/>
          <w:rFonts w:ascii="Times New Roman" w:hAnsi="Times New Roman" w:cs="Times New Roman"/>
          <w:i/>
          <w:iCs/>
          <w:u w:val="single"/>
        </w:rPr>
        <w:t>G</w:t>
      </w:r>
      <w:r w:rsidR="00A94445" w:rsidRPr="006C0574">
        <w:rPr>
          <w:rStyle w:val="normaltextrun"/>
          <w:rFonts w:ascii="Times New Roman" w:hAnsi="Times New Roman" w:cs="Times New Roman"/>
          <w:i/>
          <w:iCs/>
          <w:u w:val="single"/>
        </w:rPr>
        <w:t xml:space="preserve"> </w:t>
      </w:r>
      <w:r w:rsidRPr="006C0574">
        <w:rPr>
          <w:rStyle w:val="normaltextrun"/>
          <w:rFonts w:ascii="Times New Roman" w:hAnsi="Times New Roman" w:cs="Times New Roman"/>
          <w:i/>
          <w:iCs/>
          <w:u w:val="single"/>
        </w:rPr>
        <w:t xml:space="preserve">(A </w:t>
      </w:r>
      <w:r w:rsidR="006C0574" w:rsidRPr="006C0574">
        <w:rPr>
          <w:rStyle w:val="normaltextrun"/>
          <w:rFonts w:ascii="Times New Roman" w:hAnsi="Times New Roman" w:cs="Times New Roman"/>
          <w:i/>
          <w:iCs/>
          <w:u w:val="single"/>
        </w:rPr>
        <w:t>Child) (</w:t>
      </w:r>
      <w:r w:rsidRPr="006C0574">
        <w:rPr>
          <w:rStyle w:val="normaltextrun"/>
          <w:rFonts w:ascii="Times New Roman" w:hAnsi="Times New Roman" w:cs="Times New Roman"/>
          <w:i/>
          <w:iCs/>
          <w:u w:val="single"/>
        </w:rPr>
        <w:t>Scope of Fact-finding)</w:t>
      </w:r>
      <w:r w:rsidR="006C0574">
        <w:rPr>
          <w:rStyle w:val="normaltextrun"/>
          <w:rFonts w:ascii="Times New Roman" w:hAnsi="Times New Roman" w:cs="Times New Roman"/>
          <w:u w:val="single"/>
        </w:rPr>
        <w:t xml:space="preserve"> </w:t>
      </w:r>
      <w:r w:rsidRPr="00E124FF">
        <w:rPr>
          <w:rStyle w:val="normaltextrun"/>
          <w:rFonts w:ascii="Times New Roman" w:hAnsi="Times New Roman" w:cs="Times New Roman"/>
          <w:u w:val="single"/>
        </w:rPr>
        <w:t>[2025] EWCA Civ 1044</w:t>
      </w:r>
      <w:r w:rsidR="006C0574">
        <w:rPr>
          <w:rStyle w:val="normaltextrun"/>
          <w:rFonts w:ascii="Times New Roman" w:hAnsi="Times New Roman" w:cs="Times New Roman"/>
        </w:rPr>
        <w:t>,</w:t>
      </w:r>
      <w:r w:rsidRPr="00E124FF">
        <w:rPr>
          <w:rStyle w:val="normaltextrun"/>
          <w:rFonts w:ascii="Times New Roman" w:hAnsi="Times New Roman" w:cs="Times New Roman"/>
        </w:rPr>
        <w:t xml:space="preserve"> the majority of the Court of Appeal held the decisions about the scope of </w:t>
      </w:r>
      <w:r w:rsidR="006C0574">
        <w:rPr>
          <w:rStyle w:val="normaltextrun"/>
          <w:rFonts w:ascii="Times New Roman" w:hAnsi="Times New Roman" w:cs="Times New Roman"/>
        </w:rPr>
        <w:t>FFHs</w:t>
      </w:r>
      <w:r w:rsidRPr="00E124FF">
        <w:rPr>
          <w:rStyle w:val="normaltextrun"/>
          <w:rFonts w:ascii="Times New Roman" w:hAnsi="Times New Roman" w:cs="Times New Roman"/>
        </w:rPr>
        <w:t xml:space="preserve"> were core case management decisions which would be upheld on appeal unless it was shown that something had gone badly wrong with the balancing exercise. </w:t>
      </w:r>
    </w:p>
    <w:p w14:paraId="14DFE09E" w14:textId="77777777" w:rsidR="00E0292C" w:rsidRPr="00E124FF" w:rsidRDefault="00E0292C" w:rsidP="00E0292C">
      <w:pPr>
        <w:pStyle w:val="ListParagraph"/>
        <w:rPr>
          <w:rStyle w:val="normaltextrun"/>
          <w:rFonts w:ascii="Times New Roman" w:hAnsi="Times New Roman" w:cs="Times New Roman"/>
        </w:rPr>
      </w:pPr>
    </w:p>
    <w:p w14:paraId="147151B7" w14:textId="16D51206" w:rsidR="00E0292C" w:rsidRPr="00E124FF" w:rsidRDefault="00AA60E9" w:rsidP="00E0292C">
      <w:pPr>
        <w:pStyle w:val="ListParagraph"/>
        <w:numPr>
          <w:ilvl w:val="0"/>
          <w:numId w:val="13"/>
        </w:numPr>
        <w:jc w:val="both"/>
        <w:rPr>
          <w:rStyle w:val="normaltextrun"/>
          <w:rFonts w:ascii="Times New Roman" w:hAnsi="Times New Roman" w:cs="Times New Roman"/>
        </w:rPr>
      </w:pPr>
      <w:r w:rsidRPr="00E124FF">
        <w:rPr>
          <w:rStyle w:val="normaltextrun"/>
          <w:rFonts w:ascii="Times New Roman" w:hAnsi="Times New Roman" w:cs="Times New Roman"/>
        </w:rPr>
        <w:t xml:space="preserve">Split hearings, including </w:t>
      </w:r>
      <w:r w:rsidR="006C0574">
        <w:rPr>
          <w:rStyle w:val="normaltextrun"/>
          <w:rFonts w:ascii="Times New Roman" w:hAnsi="Times New Roman" w:cs="Times New Roman"/>
        </w:rPr>
        <w:t>FFHs</w:t>
      </w:r>
      <w:r w:rsidRPr="00E124FF">
        <w:rPr>
          <w:rStyle w:val="normaltextrun"/>
          <w:rFonts w:ascii="Times New Roman" w:hAnsi="Times New Roman" w:cs="Times New Roman"/>
        </w:rPr>
        <w:t xml:space="preserve"> cause unacceptable delay.</w:t>
      </w:r>
      <w:r w:rsidR="00504302" w:rsidRPr="00E124FF">
        <w:rPr>
          <w:rStyle w:val="normaltextrun"/>
          <w:rFonts w:ascii="Times New Roman" w:hAnsi="Times New Roman" w:cs="Times New Roman"/>
        </w:rPr>
        <w:t xml:space="preserve"> </w:t>
      </w:r>
      <w:r w:rsidRPr="00E124FF">
        <w:rPr>
          <w:rStyle w:val="normaltextrun"/>
          <w:rFonts w:ascii="Times New Roman" w:hAnsi="Times New Roman" w:cs="Times New Roman"/>
        </w:rPr>
        <w:t xml:space="preserve">Split hearings should only be reserved for </w:t>
      </w:r>
      <w:r w:rsidR="00A94445" w:rsidRPr="00E124FF">
        <w:rPr>
          <w:rStyle w:val="normaltextrun"/>
          <w:rFonts w:ascii="Times New Roman" w:hAnsi="Times New Roman" w:cs="Times New Roman"/>
        </w:rPr>
        <w:t>genuine</w:t>
      </w:r>
      <w:r w:rsidRPr="00E124FF">
        <w:rPr>
          <w:rStyle w:val="normaltextrun"/>
          <w:rFonts w:ascii="Times New Roman" w:hAnsi="Times New Roman" w:cs="Times New Roman"/>
        </w:rPr>
        <w:t xml:space="preserve"> </w:t>
      </w:r>
      <w:r w:rsidR="0087148E" w:rsidRPr="00E124FF">
        <w:rPr>
          <w:rStyle w:val="normaltextrun"/>
          <w:rFonts w:ascii="Times New Roman" w:hAnsi="Times New Roman" w:cs="Times New Roman"/>
        </w:rPr>
        <w:t>single-issue</w:t>
      </w:r>
      <w:r w:rsidRPr="00E124FF">
        <w:rPr>
          <w:rStyle w:val="normaltextrun"/>
          <w:rFonts w:ascii="Times New Roman" w:hAnsi="Times New Roman" w:cs="Times New Roman"/>
        </w:rPr>
        <w:t xml:space="preserve"> cases, or where the welfare planning cannot be concluded without a determination of core disputed facts. A decision to direct a split hearing mu</w:t>
      </w:r>
      <w:r w:rsidR="0087148E">
        <w:rPr>
          <w:rStyle w:val="normaltextrun"/>
          <w:rFonts w:ascii="Times New Roman" w:hAnsi="Times New Roman" w:cs="Times New Roman"/>
        </w:rPr>
        <w:t>s</w:t>
      </w:r>
      <w:r w:rsidRPr="00E124FF">
        <w:rPr>
          <w:rStyle w:val="normaltextrun"/>
          <w:rFonts w:ascii="Times New Roman" w:hAnsi="Times New Roman" w:cs="Times New Roman"/>
        </w:rPr>
        <w:t xml:space="preserve">t be reasoned and those reasons must be recorded on the face of the order. </w:t>
      </w:r>
    </w:p>
    <w:p w14:paraId="5A58A5C2" w14:textId="77777777" w:rsidR="00E0292C" w:rsidRPr="00E124FF" w:rsidRDefault="00E0292C" w:rsidP="00E0292C">
      <w:pPr>
        <w:pStyle w:val="ListParagraph"/>
        <w:rPr>
          <w:rStyle w:val="normaltextrun"/>
          <w:rFonts w:ascii="Times New Roman" w:hAnsi="Times New Roman" w:cs="Times New Roman"/>
        </w:rPr>
      </w:pPr>
    </w:p>
    <w:p w14:paraId="1FFC8E4A" w14:textId="5DE16A26" w:rsidR="00AA60E9" w:rsidRPr="00E124FF" w:rsidRDefault="00AA60E9" w:rsidP="00E0292C">
      <w:pPr>
        <w:pStyle w:val="ListParagraph"/>
        <w:numPr>
          <w:ilvl w:val="0"/>
          <w:numId w:val="13"/>
        </w:numPr>
        <w:jc w:val="both"/>
        <w:rPr>
          <w:rStyle w:val="normaltextrun"/>
          <w:rFonts w:ascii="Times New Roman" w:hAnsi="Times New Roman" w:cs="Times New Roman"/>
        </w:rPr>
      </w:pPr>
      <w:r w:rsidRPr="00E124FF">
        <w:rPr>
          <w:rStyle w:val="normaltextrun"/>
          <w:rFonts w:ascii="Times New Roman" w:hAnsi="Times New Roman" w:cs="Times New Roman"/>
        </w:rPr>
        <w:t xml:space="preserve">A split hearing is only justifiable where the delay caused is in furtherance of the overriding objective. Unless the delay </w:t>
      </w:r>
      <w:r w:rsidR="00D54918" w:rsidRPr="00E124FF">
        <w:rPr>
          <w:rStyle w:val="normaltextrun"/>
          <w:rFonts w:ascii="Times New Roman" w:hAnsi="Times New Roman" w:cs="Times New Roman"/>
        </w:rPr>
        <w:t>is</w:t>
      </w:r>
      <w:r w:rsidRPr="00E124FF">
        <w:rPr>
          <w:rStyle w:val="normaltextrun"/>
          <w:rFonts w:ascii="Times New Roman" w:hAnsi="Times New Roman" w:cs="Times New Roman"/>
        </w:rPr>
        <w:t xml:space="preserve"> reasoned, the inevitable delay </w:t>
      </w:r>
      <w:r w:rsidR="00D54918" w:rsidRPr="00E124FF">
        <w:rPr>
          <w:rStyle w:val="normaltextrun"/>
          <w:rFonts w:ascii="Times New Roman" w:hAnsi="Times New Roman" w:cs="Times New Roman"/>
        </w:rPr>
        <w:t>is</w:t>
      </w:r>
      <w:r w:rsidRPr="00E124FF">
        <w:rPr>
          <w:rStyle w:val="normaltextrun"/>
          <w:rFonts w:ascii="Times New Roman" w:hAnsi="Times New Roman" w:cs="Times New Roman"/>
        </w:rPr>
        <w:t xml:space="preserve"> wrong in principle.</w:t>
      </w:r>
      <w:r w:rsidR="00D54918" w:rsidRPr="00E124FF">
        <w:rPr>
          <w:rStyle w:val="normaltextrun"/>
          <w:rFonts w:ascii="Times New Roman" w:hAnsi="Times New Roman" w:cs="Times New Roman"/>
        </w:rPr>
        <w:t xml:space="preserve"> </w:t>
      </w:r>
      <w:r w:rsidR="00E0292C" w:rsidRPr="00E124FF">
        <w:rPr>
          <w:rStyle w:val="normaltextrun"/>
          <w:rFonts w:ascii="Times New Roman" w:hAnsi="Times New Roman" w:cs="Times New Roman"/>
        </w:rPr>
        <w:t xml:space="preserve">    </w:t>
      </w:r>
    </w:p>
    <w:p w14:paraId="5300E079" w14:textId="4EC8BAA6" w:rsidR="00E0292C" w:rsidRPr="006C0574" w:rsidRDefault="00E0292C" w:rsidP="006C0574">
      <w:pPr>
        <w:rPr>
          <w:rFonts w:ascii="Times New Roman" w:hAnsi="Times New Roman" w:cs="Times New Roman"/>
          <w:u w:val="single"/>
        </w:rPr>
      </w:pPr>
      <w:r w:rsidRPr="006C0574">
        <w:rPr>
          <w:rFonts w:ascii="Times New Roman" w:hAnsi="Times New Roman" w:cs="Times New Roman"/>
          <w:u w:val="single"/>
        </w:rPr>
        <w:t>Determin</w:t>
      </w:r>
      <w:r w:rsidR="002E3363">
        <w:rPr>
          <w:rFonts w:ascii="Times New Roman" w:hAnsi="Times New Roman" w:cs="Times New Roman"/>
          <w:u w:val="single"/>
        </w:rPr>
        <w:t>ing</w:t>
      </w:r>
      <w:r w:rsidRPr="006C0574">
        <w:rPr>
          <w:rFonts w:ascii="Times New Roman" w:hAnsi="Times New Roman" w:cs="Times New Roman"/>
          <w:u w:val="single"/>
        </w:rPr>
        <w:t xml:space="preserve"> </w:t>
      </w:r>
      <w:r w:rsidR="002E3363">
        <w:rPr>
          <w:rFonts w:ascii="Times New Roman" w:hAnsi="Times New Roman" w:cs="Times New Roman"/>
          <w:u w:val="single"/>
        </w:rPr>
        <w:t>w</w:t>
      </w:r>
      <w:r w:rsidRPr="006C0574">
        <w:rPr>
          <w:rFonts w:ascii="Times New Roman" w:hAnsi="Times New Roman" w:cs="Times New Roman"/>
          <w:u w:val="single"/>
        </w:rPr>
        <w:t>hich Experts (</w:t>
      </w:r>
      <w:r w:rsidR="002E3363">
        <w:rPr>
          <w:rFonts w:ascii="Times New Roman" w:hAnsi="Times New Roman" w:cs="Times New Roman"/>
          <w:u w:val="single"/>
        </w:rPr>
        <w:t>i</w:t>
      </w:r>
      <w:r w:rsidRPr="006C0574">
        <w:rPr>
          <w:rFonts w:ascii="Times New Roman" w:hAnsi="Times New Roman" w:cs="Times New Roman"/>
          <w:u w:val="single"/>
        </w:rPr>
        <w:t xml:space="preserve">f </w:t>
      </w:r>
      <w:r w:rsidR="002E3363">
        <w:rPr>
          <w:rFonts w:ascii="Times New Roman" w:hAnsi="Times New Roman" w:cs="Times New Roman"/>
          <w:u w:val="single"/>
        </w:rPr>
        <w:t>a</w:t>
      </w:r>
      <w:r w:rsidRPr="006C0574">
        <w:rPr>
          <w:rFonts w:ascii="Times New Roman" w:hAnsi="Times New Roman" w:cs="Times New Roman"/>
          <w:u w:val="single"/>
        </w:rPr>
        <w:t xml:space="preserve">ny) </w:t>
      </w:r>
      <w:r w:rsidR="002E3363">
        <w:rPr>
          <w:rFonts w:ascii="Times New Roman" w:hAnsi="Times New Roman" w:cs="Times New Roman"/>
          <w:u w:val="single"/>
        </w:rPr>
        <w:t>i</w:t>
      </w:r>
      <w:r w:rsidRPr="006C0574">
        <w:rPr>
          <w:rFonts w:ascii="Times New Roman" w:hAnsi="Times New Roman" w:cs="Times New Roman"/>
          <w:u w:val="single"/>
        </w:rPr>
        <w:t xml:space="preserve">t </w:t>
      </w:r>
      <w:r w:rsidR="002E3363">
        <w:rPr>
          <w:rFonts w:ascii="Times New Roman" w:hAnsi="Times New Roman" w:cs="Times New Roman"/>
          <w:u w:val="single"/>
        </w:rPr>
        <w:t>i</w:t>
      </w:r>
      <w:r w:rsidRPr="006C0574">
        <w:rPr>
          <w:rFonts w:ascii="Times New Roman" w:hAnsi="Times New Roman" w:cs="Times New Roman"/>
          <w:u w:val="single"/>
        </w:rPr>
        <w:t xml:space="preserve">s </w:t>
      </w:r>
      <w:r w:rsidR="002E3363">
        <w:rPr>
          <w:rFonts w:ascii="Times New Roman" w:hAnsi="Times New Roman" w:cs="Times New Roman"/>
          <w:u w:val="single"/>
        </w:rPr>
        <w:t>N</w:t>
      </w:r>
      <w:r w:rsidRPr="006C0574">
        <w:rPr>
          <w:rFonts w:ascii="Times New Roman" w:hAnsi="Times New Roman" w:cs="Times New Roman"/>
          <w:u w:val="single"/>
        </w:rPr>
        <w:t xml:space="preserve">ecessary to </w:t>
      </w:r>
      <w:r w:rsidR="002E3363">
        <w:rPr>
          <w:rFonts w:ascii="Times New Roman" w:hAnsi="Times New Roman" w:cs="Times New Roman"/>
          <w:u w:val="single"/>
        </w:rPr>
        <w:t>I</w:t>
      </w:r>
      <w:r w:rsidRPr="006C0574">
        <w:rPr>
          <w:rFonts w:ascii="Times New Roman" w:hAnsi="Times New Roman" w:cs="Times New Roman"/>
          <w:u w:val="single"/>
        </w:rPr>
        <w:t xml:space="preserve">nstruct to </w:t>
      </w:r>
      <w:r w:rsidR="002E3363">
        <w:rPr>
          <w:rFonts w:ascii="Times New Roman" w:hAnsi="Times New Roman" w:cs="Times New Roman"/>
          <w:u w:val="single"/>
        </w:rPr>
        <w:t>D</w:t>
      </w:r>
      <w:r w:rsidRPr="006C0574">
        <w:rPr>
          <w:rFonts w:ascii="Times New Roman" w:hAnsi="Times New Roman" w:cs="Times New Roman"/>
          <w:u w:val="single"/>
        </w:rPr>
        <w:t xml:space="preserve">ecide the </w:t>
      </w:r>
      <w:r w:rsidR="002E3363">
        <w:rPr>
          <w:rFonts w:ascii="Times New Roman" w:hAnsi="Times New Roman" w:cs="Times New Roman"/>
          <w:u w:val="single"/>
        </w:rPr>
        <w:t>I</w:t>
      </w:r>
      <w:r w:rsidRPr="006C0574">
        <w:rPr>
          <w:rFonts w:ascii="Times New Roman" w:hAnsi="Times New Roman" w:cs="Times New Roman"/>
          <w:u w:val="single"/>
        </w:rPr>
        <w:t xml:space="preserve">ssues in the </w:t>
      </w:r>
      <w:r w:rsidR="002E3363">
        <w:rPr>
          <w:rFonts w:ascii="Times New Roman" w:hAnsi="Times New Roman" w:cs="Times New Roman"/>
          <w:u w:val="single"/>
        </w:rPr>
        <w:t>C</w:t>
      </w:r>
      <w:r w:rsidRPr="006C0574">
        <w:rPr>
          <w:rFonts w:ascii="Times New Roman" w:hAnsi="Times New Roman" w:cs="Times New Roman"/>
          <w:u w:val="single"/>
        </w:rPr>
        <w:t xml:space="preserve">ase </w:t>
      </w:r>
      <w:r w:rsidR="002E3363">
        <w:rPr>
          <w:rFonts w:ascii="Times New Roman" w:hAnsi="Times New Roman" w:cs="Times New Roman"/>
          <w:u w:val="single"/>
        </w:rPr>
        <w:t>J</w:t>
      </w:r>
      <w:r w:rsidRPr="006C0574">
        <w:rPr>
          <w:rFonts w:ascii="Times New Roman" w:hAnsi="Times New Roman" w:cs="Times New Roman"/>
          <w:u w:val="single"/>
        </w:rPr>
        <w:t xml:space="preserve">ustly </w:t>
      </w:r>
    </w:p>
    <w:p w14:paraId="354DCFF7" w14:textId="740D0FEE" w:rsidR="00E0292C" w:rsidRPr="00E124FF" w:rsidRDefault="00934E76"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 </w:t>
      </w:r>
      <w:r w:rsidR="005D7EA6" w:rsidRPr="00E124FF">
        <w:rPr>
          <w:rFonts w:ascii="Times New Roman" w:hAnsi="Times New Roman" w:cs="Times New Roman"/>
        </w:rPr>
        <w:t>S</w:t>
      </w:r>
      <w:r w:rsidR="002E3363">
        <w:rPr>
          <w:rFonts w:ascii="Times New Roman" w:hAnsi="Times New Roman" w:cs="Times New Roman"/>
        </w:rPr>
        <w:t xml:space="preserve">ection </w:t>
      </w:r>
      <w:r w:rsidR="005D7EA6" w:rsidRPr="00E124FF">
        <w:rPr>
          <w:rFonts w:ascii="Times New Roman" w:hAnsi="Times New Roman" w:cs="Times New Roman"/>
        </w:rPr>
        <w:t>13</w:t>
      </w:r>
      <w:r w:rsidR="002E3363">
        <w:rPr>
          <w:rFonts w:ascii="Times New Roman" w:hAnsi="Times New Roman" w:cs="Times New Roman"/>
        </w:rPr>
        <w:t xml:space="preserve"> </w:t>
      </w:r>
      <w:r w:rsidR="001A0C26">
        <w:rPr>
          <w:rFonts w:ascii="Times New Roman" w:hAnsi="Times New Roman" w:cs="Times New Roman"/>
        </w:rPr>
        <w:t>of the</w:t>
      </w:r>
      <w:r w:rsidR="005D7EA6" w:rsidRPr="00E124FF">
        <w:rPr>
          <w:rFonts w:ascii="Times New Roman" w:hAnsi="Times New Roman" w:cs="Times New Roman"/>
        </w:rPr>
        <w:t xml:space="preserve"> Children and Families Act 2014 and FPR Part 25 apply to the instruction of experts. A party cannot instruct an expert in proceedings concerning children without the prior permission of the court. </w:t>
      </w:r>
    </w:p>
    <w:p w14:paraId="1FA52677" w14:textId="77777777" w:rsidR="00E0292C" w:rsidRPr="00E124FF" w:rsidRDefault="00E0292C" w:rsidP="00E0292C">
      <w:pPr>
        <w:pStyle w:val="ListParagraph"/>
        <w:ind w:left="1080"/>
        <w:jc w:val="both"/>
        <w:rPr>
          <w:rFonts w:ascii="Times New Roman" w:hAnsi="Times New Roman" w:cs="Times New Roman"/>
        </w:rPr>
      </w:pPr>
    </w:p>
    <w:p w14:paraId="1DC08893" w14:textId="5D41697B" w:rsidR="00E0292C" w:rsidRPr="00E124FF" w:rsidRDefault="005D7EA6"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An expert will only be ordered where it is necessary to assist the court to resolve the proceedings justly. </w:t>
      </w:r>
    </w:p>
    <w:p w14:paraId="7E442E30" w14:textId="77777777" w:rsidR="00E0292C" w:rsidRPr="00E124FF" w:rsidRDefault="00E0292C" w:rsidP="00E0292C">
      <w:pPr>
        <w:pStyle w:val="ListParagraph"/>
        <w:rPr>
          <w:rFonts w:ascii="Times New Roman" w:hAnsi="Times New Roman" w:cs="Times New Roman"/>
        </w:rPr>
      </w:pPr>
    </w:p>
    <w:p w14:paraId="5CBB0454" w14:textId="5D8AE551" w:rsidR="00E0292C" w:rsidRPr="00E124FF" w:rsidRDefault="005D7EA6"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It is important when applying to instruct an expert to follow the procedural requirements. </w:t>
      </w:r>
    </w:p>
    <w:p w14:paraId="0DA1E3D5" w14:textId="77777777" w:rsidR="00E0292C" w:rsidRPr="00E124FF" w:rsidRDefault="00E0292C" w:rsidP="00E0292C">
      <w:pPr>
        <w:pStyle w:val="ListParagraph"/>
        <w:rPr>
          <w:rFonts w:ascii="Times New Roman" w:hAnsi="Times New Roman" w:cs="Times New Roman"/>
        </w:rPr>
      </w:pPr>
    </w:p>
    <w:p w14:paraId="252B2F31" w14:textId="3C651811" w:rsidR="00E0292C" w:rsidRPr="00E124FF" w:rsidRDefault="005D7EA6"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Where two or more parties req</w:t>
      </w:r>
      <w:r w:rsidR="002E3363">
        <w:rPr>
          <w:rFonts w:ascii="Times New Roman" w:hAnsi="Times New Roman" w:cs="Times New Roman"/>
        </w:rPr>
        <w:t>uest</w:t>
      </w:r>
      <w:r w:rsidRPr="00E124FF">
        <w:rPr>
          <w:rFonts w:ascii="Times New Roman" w:hAnsi="Times New Roman" w:cs="Times New Roman"/>
        </w:rPr>
        <w:t xml:space="preserve"> to put expert evidence before the </w:t>
      </w:r>
      <w:r w:rsidR="002E3363" w:rsidRPr="00E124FF">
        <w:rPr>
          <w:rFonts w:ascii="Times New Roman" w:hAnsi="Times New Roman" w:cs="Times New Roman"/>
        </w:rPr>
        <w:t>court,</w:t>
      </w:r>
      <w:r w:rsidRPr="00E124FF">
        <w:rPr>
          <w:rFonts w:ascii="Times New Roman" w:hAnsi="Times New Roman" w:cs="Times New Roman"/>
        </w:rPr>
        <w:t xml:space="preserve"> the court may direct that the evidence is given by a single joint expert. </w:t>
      </w:r>
    </w:p>
    <w:p w14:paraId="04BE28EC" w14:textId="77777777" w:rsidR="00E0292C" w:rsidRPr="00E124FF" w:rsidRDefault="00E0292C" w:rsidP="00E0292C">
      <w:pPr>
        <w:pStyle w:val="ListParagraph"/>
        <w:rPr>
          <w:rFonts w:ascii="Times New Roman" w:hAnsi="Times New Roman" w:cs="Times New Roman"/>
        </w:rPr>
      </w:pPr>
    </w:p>
    <w:p w14:paraId="41462165" w14:textId="2DEFDBFD" w:rsidR="00E0292C" w:rsidRPr="00E124FF" w:rsidRDefault="00E0292C"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T</w:t>
      </w:r>
      <w:r w:rsidR="005D7EA6" w:rsidRPr="00E124FF">
        <w:rPr>
          <w:rFonts w:ascii="Times New Roman" w:hAnsi="Times New Roman" w:cs="Times New Roman"/>
        </w:rPr>
        <w:t xml:space="preserve">he court when deciding whether to give permission </w:t>
      </w:r>
      <w:r w:rsidR="00C959A3" w:rsidRPr="00E124FF">
        <w:rPr>
          <w:rFonts w:ascii="Times New Roman" w:hAnsi="Times New Roman" w:cs="Times New Roman"/>
        </w:rPr>
        <w:t xml:space="preserve">to instruct </w:t>
      </w:r>
      <w:r w:rsidR="005D7EA6" w:rsidRPr="00E124FF">
        <w:rPr>
          <w:rFonts w:ascii="Times New Roman" w:hAnsi="Times New Roman" w:cs="Times New Roman"/>
        </w:rPr>
        <w:t>must have regard to</w:t>
      </w:r>
      <w:r w:rsidR="002E3363">
        <w:rPr>
          <w:rFonts w:ascii="Times New Roman" w:hAnsi="Times New Roman" w:cs="Times New Roman"/>
        </w:rPr>
        <w:t>:</w:t>
      </w:r>
      <w:r w:rsidR="005D7EA6" w:rsidRPr="00E124FF">
        <w:rPr>
          <w:rFonts w:ascii="Times New Roman" w:hAnsi="Times New Roman" w:cs="Times New Roman"/>
        </w:rPr>
        <w:t xml:space="preserve"> the issues to which the evidence will relate; the questions the expert is required to answer; the impact of the report on the timetable, duration and conduct of the proceedings</w:t>
      </w:r>
      <w:r w:rsidR="002E3363">
        <w:rPr>
          <w:rFonts w:ascii="Times New Roman" w:hAnsi="Times New Roman" w:cs="Times New Roman"/>
        </w:rPr>
        <w:t>;</w:t>
      </w:r>
      <w:r w:rsidR="005D7EA6" w:rsidRPr="00E124FF">
        <w:rPr>
          <w:rFonts w:ascii="Times New Roman" w:hAnsi="Times New Roman" w:cs="Times New Roman"/>
        </w:rPr>
        <w:t xml:space="preserve"> and the cost. </w:t>
      </w:r>
    </w:p>
    <w:p w14:paraId="3A7C06F1" w14:textId="77777777" w:rsidR="00E0292C" w:rsidRPr="00E124FF" w:rsidRDefault="00E0292C" w:rsidP="00E0292C">
      <w:pPr>
        <w:pStyle w:val="ListParagraph"/>
        <w:rPr>
          <w:rFonts w:ascii="Times New Roman" w:hAnsi="Times New Roman" w:cs="Times New Roman"/>
        </w:rPr>
      </w:pPr>
    </w:p>
    <w:p w14:paraId="6E64179F" w14:textId="472F29A9" w:rsidR="005D7EA6" w:rsidRPr="00E124FF" w:rsidRDefault="005D7EA6" w:rsidP="00E0292C">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court will not direct an expert to attend a hearing unless it is necessary to do so in the interests of justice. Proportionate written questions can be put to the expert within </w:t>
      </w:r>
      <w:r w:rsidR="002E3363">
        <w:rPr>
          <w:rFonts w:ascii="Times New Roman" w:hAnsi="Times New Roman" w:cs="Times New Roman"/>
        </w:rPr>
        <w:t>ten</w:t>
      </w:r>
      <w:r w:rsidRPr="00E124FF">
        <w:rPr>
          <w:rFonts w:ascii="Times New Roman" w:hAnsi="Times New Roman" w:cs="Times New Roman"/>
        </w:rPr>
        <w:t xml:space="preserve"> days of the date of service. </w:t>
      </w:r>
    </w:p>
    <w:p w14:paraId="3033448E" w14:textId="10EB3436" w:rsidR="00D45D28" w:rsidRPr="00E124FF" w:rsidRDefault="00D45D28" w:rsidP="004F4273">
      <w:pPr>
        <w:pStyle w:val="ListParagraph"/>
        <w:ind w:left="1440"/>
        <w:jc w:val="both"/>
        <w:rPr>
          <w:rFonts w:ascii="Times New Roman" w:hAnsi="Times New Roman" w:cs="Times New Roman"/>
        </w:rPr>
      </w:pPr>
    </w:p>
    <w:p w14:paraId="2A0E3716" w14:textId="0AE93F4D" w:rsidR="6E02F1F1" w:rsidRDefault="00C959A3" w:rsidP="002E3363">
      <w:pPr>
        <w:pStyle w:val="ListParagraph"/>
        <w:ind w:left="0"/>
        <w:jc w:val="both"/>
        <w:rPr>
          <w:rFonts w:ascii="Times New Roman" w:hAnsi="Times New Roman" w:cs="Times New Roman"/>
          <w:b/>
          <w:bCs/>
          <w:i/>
          <w:iCs/>
        </w:rPr>
      </w:pPr>
      <w:r w:rsidRPr="00E124FF">
        <w:rPr>
          <w:rFonts w:ascii="Times New Roman" w:hAnsi="Times New Roman" w:cs="Times New Roman"/>
          <w:b/>
          <w:bCs/>
          <w:i/>
          <w:iCs/>
        </w:rPr>
        <w:t>Further Case Management Hearings</w:t>
      </w:r>
    </w:p>
    <w:p w14:paraId="098144C6" w14:textId="77777777" w:rsidR="002E3363" w:rsidRPr="00E124FF" w:rsidRDefault="002E3363" w:rsidP="002E3363">
      <w:pPr>
        <w:pStyle w:val="ListParagraph"/>
        <w:ind w:left="0"/>
        <w:jc w:val="both"/>
        <w:rPr>
          <w:rFonts w:ascii="Times New Roman" w:hAnsi="Times New Roman" w:cs="Times New Roman"/>
          <w:b/>
          <w:bCs/>
          <w:i/>
          <w:iCs/>
        </w:rPr>
      </w:pPr>
    </w:p>
    <w:p w14:paraId="03D4F976" w14:textId="6E899F2D" w:rsidR="75D9C026" w:rsidRPr="00E124FF" w:rsidRDefault="75D9C026"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 </w:t>
      </w:r>
      <w:r w:rsidR="002E3363">
        <w:rPr>
          <w:rFonts w:ascii="Times New Roman" w:hAnsi="Times New Roman" w:cs="Times New Roman"/>
        </w:rPr>
        <w:t xml:space="preserve">FCHM </w:t>
      </w:r>
      <w:r w:rsidR="0087148E" w:rsidRPr="00E124FF">
        <w:rPr>
          <w:rFonts w:ascii="Times New Roman" w:hAnsi="Times New Roman" w:cs="Times New Roman"/>
        </w:rPr>
        <w:t>will</w:t>
      </w:r>
      <w:r w:rsidRPr="00E124FF">
        <w:rPr>
          <w:rFonts w:ascii="Times New Roman" w:hAnsi="Times New Roman" w:cs="Times New Roman"/>
        </w:rPr>
        <w:t xml:space="preserve"> only be listed if it is necessary to do so. A FCMH must not be regarded as a routine step in the proceedings </w:t>
      </w:r>
      <w:r w:rsidR="0087148E" w:rsidRPr="00E124FF">
        <w:rPr>
          <w:rFonts w:ascii="Times New Roman" w:hAnsi="Times New Roman" w:cs="Times New Roman"/>
        </w:rPr>
        <w:t>(see</w:t>
      </w:r>
      <w:r w:rsidRPr="00E124FF">
        <w:rPr>
          <w:rFonts w:ascii="Times New Roman" w:hAnsi="Times New Roman" w:cs="Times New Roman"/>
        </w:rPr>
        <w:t xml:space="preserve"> P</w:t>
      </w:r>
      <w:r w:rsidR="00BA365C" w:rsidRPr="00E124FF">
        <w:rPr>
          <w:rFonts w:ascii="Times New Roman" w:hAnsi="Times New Roman" w:cs="Times New Roman"/>
        </w:rPr>
        <w:t>D</w:t>
      </w:r>
      <w:r w:rsidRPr="00E124FF">
        <w:rPr>
          <w:rFonts w:ascii="Times New Roman" w:hAnsi="Times New Roman" w:cs="Times New Roman"/>
        </w:rPr>
        <w:t xml:space="preserve">12A </w:t>
      </w:r>
      <w:r w:rsidR="002E3363">
        <w:rPr>
          <w:rFonts w:ascii="Times New Roman" w:hAnsi="Times New Roman" w:cs="Times New Roman"/>
        </w:rPr>
        <w:t xml:space="preserve">para </w:t>
      </w:r>
      <w:r w:rsidRPr="00E124FF">
        <w:rPr>
          <w:rFonts w:ascii="Times New Roman" w:hAnsi="Times New Roman" w:cs="Times New Roman"/>
        </w:rPr>
        <w:t>2.6)</w:t>
      </w:r>
      <w:r w:rsidR="002E3363">
        <w:rPr>
          <w:rFonts w:ascii="Times New Roman" w:hAnsi="Times New Roman" w:cs="Times New Roman"/>
        </w:rPr>
        <w:t xml:space="preserve">. </w:t>
      </w:r>
    </w:p>
    <w:p w14:paraId="7FB66D6D" w14:textId="174EA9AD" w:rsidR="00C959A3" w:rsidRPr="002E3363" w:rsidRDefault="00C959A3" w:rsidP="002E3363">
      <w:pPr>
        <w:jc w:val="both"/>
        <w:rPr>
          <w:rFonts w:ascii="Times New Roman" w:hAnsi="Times New Roman" w:cs="Times New Roman"/>
          <w:b/>
          <w:bCs/>
          <w:i/>
          <w:iCs/>
        </w:rPr>
      </w:pPr>
      <w:r w:rsidRPr="002E3363">
        <w:rPr>
          <w:rFonts w:ascii="Times New Roman" w:hAnsi="Times New Roman" w:cs="Times New Roman"/>
          <w:b/>
          <w:bCs/>
          <w:i/>
          <w:iCs/>
        </w:rPr>
        <w:t>Extending the Statutory Time Limit</w:t>
      </w:r>
    </w:p>
    <w:p w14:paraId="101834C0" w14:textId="3CC064BB" w:rsidR="00F35942" w:rsidRPr="00E124FF" w:rsidRDefault="1BF07FCE"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An extension </w:t>
      </w:r>
      <w:r w:rsidR="00ED3F51" w:rsidRPr="00E124FF">
        <w:rPr>
          <w:rFonts w:ascii="Times New Roman" w:hAnsi="Times New Roman" w:cs="Times New Roman"/>
        </w:rPr>
        <w:t>to the</w:t>
      </w:r>
      <w:r w:rsidRPr="00E124FF">
        <w:rPr>
          <w:rFonts w:ascii="Times New Roman" w:hAnsi="Times New Roman" w:cs="Times New Roman"/>
        </w:rPr>
        <w:t xml:space="preserve"> statutory time limit </w:t>
      </w:r>
      <w:r w:rsidR="0087148E" w:rsidRPr="00E124FF">
        <w:rPr>
          <w:rFonts w:ascii="Times New Roman" w:hAnsi="Times New Roman" w:cs="Times New Roman"/>
        </w:rPr>
        <w:t>(26</w:t>
      </w:r>
      <w:r w:rsidRPr="00E124FF">
        <w:rPr>
          <w:rFonts w:ascii="Times New Roman" w:hAnsi="Times New Roman" w:cs="Times New Roman"/>
        </w:rPr>
        <w:t xml:space="preserve"> weeks) m</w:t>
      </w:r>
      <w:r w:rsidR="00BA365C" w:rsidRPr="00E124FF">
        <w:rPr>
          <w:rFonts w:ascii="Times New Roman" w:hAnsi="Times New Roman" w:cs="Times New Roman"/>
        </w:rPr>
        <w:t>a</w:t>
      </w:r>
      <w:r w:rsidRPr="00E124FF">
        <w:rPr>
          <w:rFonts w:ascii="Times New Roman" w:hAnsi="Times New Roman" w:cs="Times New Roman"/>
        </w:rPr>
        <w:t xml:space="preserve">y be necessary to </w:t>
      </w:r>
      <w:r w:rsidR="00276FD3" w:rsidRPr="00E124FF">
        <w:rPr>
          <w:rFonts w:ascii="Times New Roman" w:hAnsi="Times New Roman" w:cs="Times New Roman"/>
        </w:rPr>
        <w:t>enable</w:t>
      </w:r>
      <w:r w:rsidRPr="00E124FF">
        <w:rPr>
          <w:rFonts w:ascii="Times New Roman" w:hAnsi="Times New Roman" w:cs="Times New Roman"/>
        </w:rPr>
        <w:t xml:space="preserve"> </w:t>
      </w:r>
      <w:r w:rsidR="002E3363">
        <w:rPr>
          <w:rFonts w:ascii="Times New Roman" w:hAnsi="Times New Roman" w:cs="Times New Roman"/>
        </w:rPr>
        <w:t>t</w:t>
      </w:r>
      <w:r w:rsidRPr="00E124FF">
        <w:rPr>
          <w:rFonts w:ascii="Times New Roman" w:hAnsi="Times New Roman" w:cs="Times New Roman"/>
        </w:rPr>
        <w:t xml:space="preserve">he case to be resolved justly </w:t>
      </w:r>
      <w:r w:rsidR="00ED3F51" w:rsidRPr="00E124FF">
        <w:rPr>
          <w:rFonts w:ascii="Times New Roman" w:hAnsi="Times New Roman" w:cs="Times New Roman"/>
        </w:rPr>
        <w:t>(</w:t>
      </w:r>
      <w:r w:rsidR="002E3363">
        <w:rPr>
          <w:rFonts w:ascii="Times New Roman" w:hAnsi="Times New Roman" w:cs="Times New Roman"/>
        </w:rPr>
        <w:t>s.</w:t>
      </w:r>
      <w:r w:rsidR="00ED3F51" w:rsidRPr="00E124FF">
        <w:rPr>
          <w:rFonts w:ascii="Times New Roman" w:hAnsi="Times New Roman" w:cs="Times New Roman"/>
        </w:rPr>
        <w:t>32(5) C</w:t>
      </w:r>
      <w:r w:rsidR="002E3363">
        <w:rPr>
          <w:rFonts w:ascii="Times New Roman" w:hAnsi="Times New Roman" w:cs="Times New Roman"/>
        </w:rPr>
        <w:t xml:space="preserve">hildren </w:t>
      </w:r>
      <w:r w:rsidR="00ED3F51" w:rsidRPr="00E124FF">
        <w:rPr>
          <w:rFonts w:ascii="Times New Roman" w:hAnsi="Times New Roman" w:cs="Times New Roman"/>
        </w:rPr>
        <w:t>A</w:t>
      </w:r>
      <w:r w:rsidR="002E3363">
        <w:rPr>
          <w:rFonts w:ascii="Times New Roman" w:hAnsi="Times New Roman" w:cs="Times New Roman"/>
        </w:rPr>
        <w:t>ct</w:t>
      </w:r>
      <w:r w:rsidR="00ED3F51" w:rsidRPr="00E124FF">
        <w:rPr>
          <w:rFonts w:ascii="Times New Roman" w:hAnsi="Times New Roman" w:cs="Times New Roman"/>
        </w:rPr>
        <w:t xml:space="preserve"> 1989</w:t>
      </w:r>
      <w:r w:rsidR="0087148E" w:rsidRPr="00E124FF">
        <w:rPr>
          <w:rFonts w:ascii="Times New Roman" w:hAnsi="Times New Roman" w:cs="Times New Roman"/>
        </w:rPr>
        <w:t>) but</w:t>
      </w:r>
      <w:r w:rsidRPr="00E124FF">
        <w:rPr>
          <w:rFonts w:ascii="Times New Roman" w:hAnsi="Times New Roman" w:cs="Times New Roman"/>
        </w:rPr>
        <w:t xml:space="preserve"> </w:t>
      </w:r>
      <w:r w:rsidRPr="0087148E">
        <w:rPr>
          <w:rFonts w:ascii="Times New Roman" w:hAnsi="Times New Roman" w:cs="Times New Roman"/>
          <w:b/>
          <w:bCs/>
          <w:i/>
          <w:iCs/>
        </w:rPr>
        <w:t xml:space="preserve">extensions are not to be granted </w:t>
      </w:r>
      <w:r w:rsidR="0087148E" w:rsidRPr="0087148E">
        <w:rPr>
          <w:rFonts w:ascii="Times New Roman" w:hAnsi="Times New Roman" w:cs="Times New Roman"/>
          <w:b/>
          <w:bCs/>
          <w:i/>
          <w:iCs/>
        </w:rPr>
        <w:t>routinely</w:t>
      </w:r>
      <w:r w:rsidR="0087148E" w:rsidRPr="00E124FF">
        <w:rPr>
          <w:rFonts w:ascii="Times New Roman" w:hAnsi="Times New Roman" w:cs="Times New Roman"/>
          <w:i/>
          <w:iCs/>
        </w:rPr>
        <w:t xml:space="preserve"> </w:t>
      </w:r>
      <w:r w:rsidR="0087148E" w:rsidRPr="00E124FF">
        <w:rPr>
          <w:rFonts w:ascii="Times New Roman" w:hAnsi="Times New Roman" w:cs="Times New Roman"/>
        </w:rPr>
        <w:t>and</w:t>
      </w:r>
      <w:r w:rsidRPr="00E124FF">
        <w:rPr>
          <w:rFonts w:ascii="Times New Roman" w:hAnsi="Times New Roman" w:cs="Times New Roman"/>
        </w:rPr>
        <w:t xml:space="preserve"> </w:t>
      </w:r>
      <w:r w:rsidR="005C11EF" w:rsidRPr="00E124FF">
        <w:rPr>
          <w:rFonts w:ascii="Times New Roman" w:hAnsi="Times New Roman" w:cs="Times New Roman"/>
        </w:rPr>
        <w:t>require</w:t>
      </w:r>
      <w:r w:rsidR="38AA6FF2" w:rsidRPr="00E124FF">
        <w:rPr>
          <w:rFonts w:ascii="Times New Roman" w:hAnsi="Times New Roman" w:cs="Times New Roman"/>
        </w:rPr>
        <w:t xml:space="preserve"> </w:t>
      </w:r>
      <w:r w:rsidR="005C11EF" w:rsidRPr="00E124FF">
        <w:rPr>
          <w:rFonts w:ascii="Times New Roman" w:hAnsi="Times New Roman" w:cs="Times New Roman"/>
        </w:rPr>
        <w:t>specific</w:t>
      </w:r>
      <w:r w:rsidR="38AA6FF2" w:rsidRPr="00E124FF">
        <w:rPr>
          <w:rFonts w:ascii="Times New Roman" w:hAnsi="Times New Roman" w:cs="Times New Roman"/>
        </w:rPr>
        <w:t xml:space="preserve"> justification. </w:t>
      </w:r>
    </w:p>
    <w:p w14:paraId="13BAA7B1" w14:textId="77777777" w:rsidR="00F35942" w:rsidRPr="00E124FF" w:rsidRDefault="00F35942" w:rsidP="00F35942">
      <w:pPr>
        <w:pStyle w:val="ListParagraph"/>
        <w:ind w:left="1080"/>
        <w:jc w:val="both"/>
        <w:rPr>
          <w:rFonts w:ascii="Times New Roman" w:hAnsi="Times New Roman" w:cs="Times New Roman"/>
        </w:rPr>
      </w:pPr>
    </w:p>
    <w:p w14:paraId="44CC2BE6" w14:textId="7ABFFD33" w:rsidR="00F35942" w:rsidRPr="00E124FF" w:rsidRDefault="00F35942" w:rsidP="00F35942">
      <w:pPr>
        <w:pStyle w:val="ListParagraph"/>
        <w:numPr>
          <w:ilvl w:val="0"/>
          <w:numId w:val="13"/>
        </w:numPr>
        <w:jc w:val="both"/>
        <w:rPr>
          <w:rFonts w:ascii="Times New Roman" w:hAnsi="Times New Roman" w:cs="Times New Roman"/>
        </w:rPr>
      </w:pPr>
      <w:r w:rsidRPr="00E124FF">
        <w:rPr>
          <w:rFonts w:ascii="Times New Roman" w:hAnsi="Times New Roman" w:cs="Times New Roman"/>
        </w:rPr>
        <w:t>Applications for an extension should, wherever possible, only be made so that they are considered at any hearing for which a date has been fixed or for which a date is about to be fixed.</w:t>
      </w:r>
    </w:p>
    <w:p w14:paraId="7213629D" w14:textId="77777777" w:rsidR="00F35942" w:rsidRPr="00E124FF" w:rsidRDefault="00F35942" w:rsidP="00F35942">
      <w:pPr>
        <w:pStyle w:val="ListParagraph"/>
        <w:ind w:left="1080"/>
        <w:jc w:val="both"/>
        <w:rPr>
          <w:rFonts w:ascii="Times New Roman" w:hAnsi="Times New Roman" w:cs="Times New Roman"/>
        </w:rPr>
      </w:pPr>
    </w:p>
    <w:p w14:paraId="18A3933F" w14:textId="18234A52" w:rsidR="1BF07FCE" w:rsidRPr="00E124FF" w:rsidRDefault="38AA6FF2"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decision to extend the timetable and </w:t>
      </w:r>
      <w:r w:rsidR="7C377927" w:rsidRPr="00E124FF">
        <w:rPr>
          <w:rFonts w:ascii="Times New Roman" w:hAnsi="Times New Roman" w:cs="Times New Roman"/>
        </w:rPr>
        <w:t>the</w:t>
      </w:r>
      <w:r w:rsidRPr="00E124FF">
        <w:rPr>
          <w:rFonts w:ascii="Times New Roman" w:hAnsi="Times New Roman" w:cs="Times New Roman"/>
        </w:rPr>
        <w:t xml:space="preserve"> reasons fo</w:t>
      </w:r>
      <w:r w:rsidR="005C11EF" w:rsidRPr="00E124FF">
        <w:rPr>
          <w:rFonts w:ascii="Times New Roman" w:hAnsi="Times New Roman" w:cs="Times New Roman"/>
        </w:rPr>
        <w:t>r</w:t>
      </w:r>
      <w:r w:rsidRPr="00E124FF">
        <w:rPr>
          <w:rFonts w:ascii="Times New Roman" w:hAnsi="Times New Roman" w:cs="Times New Roman"/>
        </w:rPr>
        <w:t xml:space="preserve"> doing so should </w:t>
      </w:r>
      <w:r w:rsidR="005C11EF" w:rsidRPr="00E124FF">
        <w:rPr>
          <w:rFonts w:ascii="Times New Roman" w:hAnsi="Times New Roman" w:cs="Times New Roman"/>
        </w:rPr>
        <w:t>be</w:t>
      </w:r>
      <w:r w:rsidRPr="00E124FF">
        <w:rPr>
          <w:rFonts w:ascii="Times New Roman" w:hAnsi="Times New Roman" w:cs="Times New Roman"/>
        </w:rPr>
        <w:t xml:space="preserve"> recorded in writing in </w:t>
      </w:r>
      <w:r w:rsidR="005C11EF" w:rsidRPr="00E124FF">
        <w:rPr>
          <w:rFonts w:ascii="Times New Roman" w:hAnsi="Times New Roman" w:cs="Times New Roman"/>
        </w:rPr>
        <w:t>the</w:t>
      </w:r>
      <w:r w:rsidRPr="00E124FF">
        <w:rPr>
          <w:rFonts w:ascii="Times New Roman" w:hAnsi="Times New Roman" w:cs="Times New Roman"/>
        </w:rPr>
        <w:t xml:space="preserve"> CMO and orally stated in cou</w:t>
      </w:r>
      <w:r w:rsidR="1A8B10F2" w:rsidRPr="00E124FF">
        <w:rPr>
          <w:rFonts w:ascii="Times New Roman" w:hAnsi="Times New Roman" w:cs="Times New Roman"/>
        </w:rPr>
        <w:t>r</w:t>
      </w:r>
      <w:r w:rsidRPr="00E124FF">
        <w:rPr>
          <w:rFonts w:ascii="Times New Roman" w:hAnsi="Times New Roman" w:cs="Times New Roman"/>
        </w:rPr>
        <w:t>t</w:t>
      </w:r>
      <w:r w:rsidR="0087148E">
        <w:rPr>
          <w:rFonts w:ascii="Times New Roman" w:hAnsi="Times New Roman" w:cs="Times New Roman"/>
        </w:rPr>
        <w:t xml:space="preserve"> </w:t>
      </w:r>
      <w:r w:rsidR="002E3363">
        <w:rPr>
          <w:rFonts w:ascii="Times New Roman" w:hAnsi="Times New Roman" w:cs="Times New Roman"/>
        </w:rPr>
        <w:t>(see</w:t>
      </w:r>
      <w:r w:rsidR="0087148E">
        <w:rPr>
          <w:rFonts w:ascii="Times New Roman" w:hAnsi="Times New Roman" w:cs="Times New Roman"/>
        </w:rPr>
        <w:t xml:space="preserve"> </w:t>
      </w:r>
      <w:r w:rsidRPr="00E124FF">
        <w:rPr>
          <w:rFonts w:ascii="Times New Roman" w:hAnsi="Times New Roman" w:cs="Times New Roman"/>
        </w:rPr>
        <w:t xml:space="preserve">PD12A </w:t>
      </w:r>
      <w:r w:rsidR="002E3363">
        <w:rPr>
          <w:rFonts w:ascii="Times New Roman" w:hAnsi="Times New Roman" w:cs="Times New Roman"/>
        </w:rPr>
        <w:t xml:space="preserve">paras </w:t>
      </w:r>
      <w:r w:rsidRPr="00E124FF">
        <w:rPr>
          <w:rFonts w:ascii="Times New Roman" w:hAnsi="Times New Roman" w:cs="Times New Roman"/>
        </w:rPr>
        <w:t>6</w:t>
      </w:r>
      <w:r w:rsidR="2367A27D" w:rsidRPr="00E124FF">
        <w:rPr>
          <w:rFonts w:ascii="Times New Roman" w:hAnsi="Times New Roman" w:cs="Times New Roman"/>
        </w:rPr>
        <w:t>.2</w:t>
      </w:r>
      <w:r w:rsidR="002E3363">
        <w:rPr>
          <w:rFonts w:ascii="Times New Roman" w:hAnsi="Times New Roman" w:cs="Times New Roman"/>
        </w:rPr>
        <w:t xml:space="preserve"> and </w:t>
      </w:r>
      <w:r w:rsidR="2367A27D" w:rsidRPr="00E124FF">
        <w:rPr>
          <w:rFonts w:ascii="Times New Roman" w:hAnsi="Times New Roman" w:cs="Times New Roman"/>
        </w:rPr>
        <w:t>6.3</w:t>
      </w:r>
      <w:r w:rsidR="0087148E">
        <w:rPr>
          <w:rFonts w:ascii="Times New Roman" w:hAnsi="Times New Roman" w:cs="Times New Roman"/>
        </w:rPr>
        <w:t>)</w:t>
      </w:r>
      <w:r w:rsidR="2367A27D" w:rsidRPr="00E124FF">
        <w:rPr>
          <w:rFonts w:ascii="Times New Roman" w:hAnsi="Times New Roman" w:cs="Times New Roman"/>
        </w:rPr>
        <w:t xml:space="preserve">. </w:t>
      </w:r>
    </w:p>
    <w:p w14:paraId="79898C65" w14:textId="43FD6CDA" w:rsidR="6E02F1F1" w:rsidRPr="002E3363" w:rsidRDefault="00C959A3" w:rsidP="002E3363">
      <w:pPr>
        <w:jc w:val="both"/>
        <w:rPr>
          <w:rFonts w:ascii="Times New Roman" w:hAnsi="Times New Roman" w:cs="Times New Roman"/>
          <w:b/>
          <w:bCs/>
          <w:i/>
          <w:iCs/>
        </w:rPr>
      </w:pPr>
      <w:r w:rsidRPr="002E3363">
        <w:rPr>
          <w:rFonts w:ascii="Times New Roman" w:hAnsi="Times New Roman" w:cs="Times New Roman"/>
          <w:b/>
          <w:bCs/>
          <w:i/>
          <w:iCs/>
        </w:rPr>
        <w:t xml:space="preserve">The Issues Resolution Hearing/Early Final Hearing </w:t>
      </w:r>
    </w:p>
    <w:p w14:paraId="1465E65D" w14:textId="3D7A7A01" w:rsidR="60AE8530" w:rsidRPr="00E124FF" w:rsidRDefault="00C959A3" w:rsidP="00C959A3">
      <w:pPr>
        <w:pStyle w:val="ListParagraph"/>
        <w:numPr>
          <w:ilvl w:val="0"/>
          <w:numId w:val="13"/>
        </w:numPr>
        <w:jc w:val="both"/>
        <w:rPr>
          <w:rFonts w:ascii="Times New Roman" w:hAnsi="Times New Roman" w:cs="Times New Roman"/>
        </w:rPr>
      </w:pPr>
      <w:r w:rsidRPr="00E124FF">
        <w:rPr>
          <w:rFonts w:ascii="Times New Roman" w:hAnsi="Times New Roman" w:cs="Times New Roman"/>
        </w:rPr>
        <w:t>B</w:t>
      </w:r>
      <w:r w:rsidR="60AE8530" w:rsidRPr="00E124FF">
        <w:rPr>
          <w:rFonts w:ascii="Times New Roman" w:hAnsi="Times New Roman" w:cs="Times New Roman"/>
        </w:rPr>
        <w:t xml:space="preserve">efore </w:t>
      </w:r>
      <w:r w:rsidR="3E89F646" w:rsidRPr="00E124FF">
        <w:rPr>
          <w:rFonts w:ascii="Times New Roman" w:hAnsi="Times New Roman" w:cs="Times New Roman"/>
        </w:rPr>
        <w:t>the</w:t>
      </w:r>
      <w:r w:rsidR="60AE8530" w:rsidRPr="00E124FF">
        <w:rPr>
          <w:rFonts w:ascii="Times New Roman" w:hAnsi="Times New Roman" w:cs="Times New Roman"/>
        </w:rPr>
        <w:t xml:space="preserve"> </w:t>
      </w:r>
      <w:r w:rsidRPr="00E124FF">
        <w:rPr>
          <w:rFonts w:ascii="Times New Roman" w:hAnsi="Times New Roman" w:cs="Times New Roman"/>
        </w:rPr>
        <w:t>I</w:t>
      </w:r>
      <w:r w:rsidR="0087148E">
        <w:rPr>
          <w:rFonts w:ascii="Times New Roman" w:hAnsi="Times New Roman" w:cs="Times New Roman"/>
        </w:rPr>
        <w:t>RH/EFH</w:t>
      </w:r>
      <w:r w:rsidR="002E3363">
        <w:rPr>
          <w:rFonts w:ascii="Times New Roman" w:hAnsi="Times New Roman" w:cs="Times New Roman"/>
        </w:rPr>
        <w:t>,</w:t>
      </w:r>
      <w:r w:rsidR="60AE8530" w:rsidRPr="00E124FF">
        <w:rPr>
          <w:rFonts w:ascii="Times New Roman" w:hAnsi="Times New Roman" w:cs="Times New Roman"/>
        </w:rPr>
        <w:t xml:space="preserve"> advocates must have an </w:t>
      </w:r>
      <w:r w:rsidR="002E3363">
        <w:rPr>
          <w:rFonts w:ascii="Times New Roman" w:hAnsi="Times New Roman" w:cs="Times New Roman"/>
        </w:rPr>
        <w:t>A</w:t>
      </w:r>
      <w:r w:rsidR="142A9447" w:rsidRPr="00E124FF">
        <w:rPr>
          <w:rFonts w:ascii="Times New Roman" w:hAnsi="Times New Roman" w:cs="Times New Roman"/>
        </w:rPr>
        <w:t>dvocates</w:t>
      </w:r>
      <w:r w:rsidR="60AE8530" w:rsidRPr="00E124FF">
        <w:rPr>
          <w:rFonts w:ascii="Times New Roman" w:hAnsi="Times New Roman" w:cs="Times New Roman"/>
        </w:rPr>
        <w:t xml:space="preserve">’ </w:t>
      </w:r>
      <w:r w:rsidR="002E3363">
        <w:rPr>
          <w:rFonts w:ascii="Times New Roman" w:hAnsi="Times New Roman" w:cs="Times New Roman"/>
        </w:rPr>
        <w:t>M</w:t>
      </w:r>
      <w:r w:rsidR="60AE8530" w:rsidRPr="00E124FF">
        <w:rPr>
          <w:rFonts w:ascii="Times New Roman" w:hAnsi="Times New Roman" w:cs="Times New Roman"/>
        </w:rPr>
        <w:t>eeting at which they will identify</w:t>
      </w:r>
      <w:r w:rsidR="002E3363">
        <w:rPr>
          <w:rFonts w:ascii="Times New Roman" w:hAnsi="Times New Roman" w:cs="Times New Roman"/>
        </w:rPr>
        <w:t>:</w:t>
      </w:r>
      <w:r w:rsidR="60AE8530" w:rsidRPr="00E124FF">
        <w:rPr>
          <w:rFonts w:ascii="Times New Roman" w:hAnsi="Times New Roman" w:cs="Times New Roman"/>
        </w:rPr>
        <w:t xml:space="preserve"> the key </w:t>
      </w:r>
      <w:r w:rsidR="562E69D5" w:rsidRPr="00E124FF">
        <w:rPr>
          <w:rFonts w:ascii="Times New Roman" w:hAnsi="Times New Roman" w:cs="Times New Roman"/>
        </w:rPr>
        <w:t>remaining</w:t>
      </w:r>
      <w:r w:rsidR="60AE8530" w:rsidRPr="00E124FF">
        <w:rPr>
          <w:rFonts w:ascii="Times New Roman" w:hAnsi="Times New Roman" w:cs="Times New Roman"/>
        </w:rPr>
        <w:t xml:space="preserve"> issues to be resolved or </w:t>
      </w:r>
      <w:r w:rsidR="547070AF" w:rsidRPr="00E124FF">
        <w:rPr>
          <w:rFonts w:ascii="Times New Roman" w:hAnsi="Times New Roman" w:cs="Times New Roman"/>
        </w:rPr>
        <w:t>narrowed</w:t>
      </w:r>
      <w:r w:rsidR="60AE8530" w:rsidRPr="00E124FF">
        <w:rPr>
          <w:rFonts w:ascii="Times New Roman" w:hAnsi="Times New Roman" w:cs="Times New Roman"/>
        </w:rPr>
        <w:t xml:space="preserve"> at</w:t>
      </w:r>
      <w:r w:rsidR="0087148E">
        <w:rPr>
          <w:rFonts w:ascii="Times New Roman" w:hAnsi="Times New Roman" w:cs="Times New Roman"/>
        </w:rPr>
        <w:t xml:space="preserve"> the IRH/EFH</w:t>
      </w:r>
      <w:r w:rsidRPr="00E124FF">
        <w:rPr>
          <w:rFonts w:ascii="Times New Roman" w:hAnsi="Times New Roman" w:cs="Times New Roman"/>
        </w:rPr>
        <w:t>;</w:t>
      </w:r>
      <w:r w:rsidR="6E93860D" w:rsidRPr="00E124FF">
        <w:rPr>
          <w:rFonts w:ascii="Times New Roman" w:hAnsi="Times New Roman" w:cs="Times New Roman"/>
        </w:rPr>
        <w:t xml:space="preserve"> what further evidence is </w:t>
      </w:r>
      <w:r w:rsidR="284F0EEA" w:rsidRPr="00E124FF">
        <w:rPr>
          <w:rFonts w:ascii="Times New Roman" w:hAnsi="Times New Roman" w:cs="Times New Roman"/>
        </w:rPr>
        <w:t>necessary</w:t>
      </w:r>
      <w:r w:rsidR="6E93860D" w:rsidRPr="00E124FF">
        <w:rPr>
          <w:rFonts w:ascii="Times New Roman" w:hAnsi="Times New Roman" w:cs="Times New Roman"/>
        </w:rPr>
        <w:t xml:space="preserve"> to enable those issues to be narrowed or </w:t>
      </w:r>
      <w:r w:rsidRPr="00E124FF">
        <w:rPr>
          <w:rFonts w:ascii="Times New Roman" w:hAnsi="Times New Roman" w:cs="Times New Roman"/>
        </w:rPr>
        <w:t>r</w:t>
      </w:r>
      <w:r w:rsidR="6E93860D" w:rsidRPr="00E124FF">
        <w:rPr>
          <w:rFonts w:ascii="Times New Roman" w:hAnsi="Times New Roman" w:cs="Times New Roman"/>
        </w:rPr>
        <w:t>esolved</w:t>
      </w:r>
      <w:r w:rsidR="0087148E">
        <w:rPr>
          <w:rFonts w:ascii="Times New Roman" w:hAnsi="Times New Roman" w:cs="Times New Roman"/>
        </w:rPr>
        <w:t xml:space="preserve"> at the IRH/EFH;</w:t>
      </w:r>
      <w:r w:rsidR="6E93860D" w:rsidRPr="00E124FF">
        <w:rPr>
          <w:rFonts w:ascii="Times New Roman" w:hAnsi="Times New Roman" w:cs="Times New Roman"/>
        </w:rPr>
        <w:t xml:space="preserve"> </w:t>
      </w:r>
      <w:r w:rsidR="3655628A" w:rsidRPr="00E124FF">
        <w:rPr>
          <w:rFonts w:ascii="Times New Roman" w:hAnsi="Times New Roman" w:cs="Times New Roman"/>
        </w:rPr>
        <w:t>the</w:t>
      </w:r>
      <w:r w:rsidR="6E93860D" w:rsidRPr="00E124FF">
        <w:rPr>
          <w:rFonts w:ascii="Times New Roman" w:hAnsi="Times New Roman" w:cs="Times New Roman"/>
        </w:rPr>
        <w:t xml:space="preserve"> evidence that is </w:t>
      </w:r>
      <w:r w:rsidR="246F5986" w:rsidRPr="00E124FF">
        <w:rPr>
          <w:rFonts w:ascii="Times New Roman" w:hAnsi="Times New Roman" w:cs="Times New Roman"/>
        </w:rPr>
        <w:t>r</w:t>
      </w:r>
      <w:r w:rsidR="6E93860D" w:rsidRPr="00E124FF">
        <w:rPr>
          <w:rFonts w:ascii="Times New Roman" w:hAnsi="Times New Roman" w:cs="Times New Roman"/>
        </w:rPr>
        <w:t>ele</w:t>
      </w:r>
      <w:r w:rsidR="7D5F684F" w:rsidRPr="00E124FF">
        <w:rPr>
          <w:rFonts w:ascii="Times New Roman" w:hAnsi="Times New Roman" w:cs="Times New Roman"/>
        </w:rPr>
        <w:t>v</w:t>
      </w:r>
      <w:r w:rsidR="6E93860D" w:rsidRPr="00E124FF">
        <w:rPr>
          <w:rFonts w:ascii="Times New Roman" w:hAnsi="Times New Roman" w:cs="Times New Roman"/>
        </w:rPr>
        <w:t>ant to</w:t>
      </w:r>
      <w:r w:rsidR="174A65CB" w:rsidRPr="00E124FF">
        <w:rPr>
          <w:rFonts w:ascii="Times New Roman" w:hAnsi="Times New Roman" w:cs="Times New Roman"/>
        </w:rPr>
        <w:t xml:space="preserve"> the issue(s) in dispute</w:t>
      </w:r>
      <w:r w:rsidR="002E3363">
        <w:rPr>
          <w:rFonts w:ascii="Times New Roman" w:hAnsi="Times New Roman" w:cs="Times New Roman"/>
        </w:rPr>
        <w:t xml:space="preserve">; </w:t>
      </w:r>
      <w:r w:rsidR="6E93860D" w:rsidRPr="00E124FF">
        <w:rPr>
          <w:rFonts w:ascii="Times New Roman" w:hAnsi="Times New Roman" w:cs="Times New Roman"/>
        </w:rPr>
        <w:t>and the witness</w:t>
      </w:r>
      <w:r w:rsidR="002E3363">
        <w:rPr>
          <w:rFonts w:ascii="Times New Roman" w:hAnsi="Times New Roman" w:cs="Times New Roman"/>
        </w:rPr>
        <w:t>es</w:t>
      </w:r>
      <w:r w:rsidR="6E93860D" w:rsidRPr="00E124FF">
        <w:rPr>
          <w:rFonts w:ascii="Times New Roman" w:hAnsi="Times New Roman" w:cs="Times New Roman"/>
        </w:rPr>
        <w:t xml:space="preserve"> required at any final hea</w:t>
      </w:r>
      <w:r w:rsidR="586F53A2" w:rsidRPr="00E124FF">
        <w:rPr>
          <w:rFonts w:ascii="Times New Roman" w:hAnsi="Times New Roman" w:cs="Times New Roman"/>
        </w:rPr>
        <w:t>r</w:t>
      </w:r>
      <w:r w:rsidR="6E93860D" w:rsidRPr="00E124FF">
        <w:rPr>
          <w:rFonts w:ascii="Times New Roman" w:hAnsi="Times New Roman" w:cs="Times New Roman"/>
        </w:rPr>
        <w:t xml:space="preserve">ing. </w:t>
      </w:r>
    </w:p>
    <w:p w14:paraId="60B3754A" w14:textId="2C65F93F" w:rsidR="6E02F1F1" w:rsidRPr="00E124FF" w:rsidRDefault="6E02F1F1" w:rsidP="6E02F1F1">
      <w:pPr>
        <w:pStyle w:val="ListParagraph"/>
        <w:jc w:val="both"/>
        <w:rPr>
          <w:rFonts w:ascii="Times New Roman" w:hAnsi="Times New Roman" w:cs="Times New Roman"/>
        </w:rPr>
      </w:pPr>
    </w:p>
    <w:p w14:paraId="58BA8D5C" w14:textId="148DA09E" w:rsidR="5BDA5AE2" w:rsidRPr="00E124FF" w:rsidRDefault="5BDA5AE2"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An Advocates’ </w:t>
      </w:r>
      <w:r w:rsidR="002E3363">
        <w:rPr>
          <w:rFonts w:ascii="Times New Roman" w:hAnsi="Times New Roman" w:cs="Times New Roman"/>
        </w:rPr>
        <w:t>M</w:t>
      </w:r>
      <w:r w:rsidRPr="00E124FF">
        <w:rPr>
          <w:rFonts w:ascii="Times New Roman" w:hAnsi="Times New Roman" w:cs="Times New Roman"/>
        </w:rPr>
        <w:t>eeting can only be effective and consider the issues</w:t>
      </w:r>
      <w:r w:rsidR="008A574B" w:rsidRPr="00E124FF">
        <w:rPr>
          <w:rFonts w:ascii="Times New Roman" w:hAnsi="Times New Roman" w:cs="Times New Roman"/>
        </w:rPr>
        <w:t xml:space="preserve"> </w:t>
      </w:r>
      <w:r w:rsidRPr="00E124FF">
        <w:rPr>
          <w:rFonts w:ascii="Times New Roman" w:hAnsi="Times New Roman" w:cs="Times New Roman"/>
        </w:rPr>
        <w:t>in t</w:t>
      </w:r>
      <w:r w:rsidR="008A574B" w:rsidRPr="00E124FF">
        <w:rPr>
          <w:rFonts w:ascii="Times New Roman" w:hAnsi="Times New Roman" w:cs="Times New Roman"/>
        </w:rPr>
        <w:t>he</w:t>
      </w:r>
      <w:r w:rsidRPr="00E124FF">
        <w:rPr>
          <w:rFonts w:ascii="Times New Roman" w:hAnsi="Times New Roman" w:cs="Times New Roman"/>
        </w:rPr>
        <w:t xml:space="preserve"> case if </w:t>
      </w:r>
      <w:r w:rsidR="008A574B" w:rsidRPr="00E124FF">
        <w:rPr>
          <w:rFonts w:ascii="Times New Roman" w:hAnsi="Times New Roman" w:cs="Times New Roman"/>
        </w:rPr>
        <w:t>prior</w:t>
      </w:r>
      <w:r w:rsidRPr="00E124FF">
        <w:rPr>
          <w:rFonts w:ascii="Times New Roman" w:hAnsi="Times New Roman" w:cs="Times New Roman"/>
        </w:rPr>
        <w:t xml:space="preserve"> to it taking place all the evidence h</w:t>
      </w:r>
      <w:r w:rsidR="008A574B" w:rsidRPr="00E124FF">
        <w:rPr>
          <w:rFonts w:ascii="Times New Roman" w:hAnsi="Times New Roman" w:cs="Times New Roman"/>
        </w:rPr>
        <w:t>a</w:t>
      </w:r>
      <w:r w:rsidRPr="00E124FF">
        <w:rPr>
          <w:rFonts w:ascii="Times New Roman" w:hAnsi="Times New Roman" w:cs="Times New Roman"/>
        </w:rPr>
        <w:t xml:space="preserve">s been filed and there is </w:t>
      </w:r>
      <w:r w:rsidR="3335D881" w:rsidRPr="00E124FF">
        <w:rPr>
          <w:rFonts w:ascii="Times New Roman" w:hAnsi="Times New Roman" w:cs="Times New Roman"/>
        </w:rPr>
        <w:t xml:space="preserve">a final Guardian’s Analysis </w:t>
      </w:r>
      <w:r w:rsidR="008A574B" w:rsidRPr="00E124FF">
        <w:rPr>
          <w:rFonts w:ascii="Times New Roman" w:hAnsi="Times New Roman" w:cs="Times New Roman"/>
        </w:rPr>
        <w:t>available</w:t>
      </w:r>
      <w:r w:rsidR="3335D881" w:rsidRPr="00E124FF">
        <w:rPr>
          <w:rFonts w:ascii="Times New Roman" w:hAnsi="Times New Roman" w:cs="Times New Roman"/>
        </w:rPr>
        <w:t xml:space="preserve">. </w:t>
      </w:r>
    </w:p>
    <w:p w14:paraId="78739C15" w14:textId="51CFA40E" w:rsidR="6E02F1F1" w:rsidRPr="00E124FF" w:rsidRDefault="6E02F1F1" w:rsidP="6E02F1F1">
      <w:pPr>
        <w:pStyle w:val="ListParagraph"/>
        <w:jc w:val="both"/>
        <w:rPr>
          <w:rFonts w:ascii="Times New Roman" w:hAnsi="Times New Roman" w:cs="Times New Roman"/>
        </w:rPr>
      </w:pPr>
    </w:p>
    <w:p w14:paraId="120D61F5" w14:textId="4AC97C4D" w:rsidR="00C959A3" w:rsidRPr="00E124FF" w:rsidRDefault="62744977" w:rsidP="001A0C26">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IRH </w:t>
      </w:r>
      <w:r w:rsidR="00732625" w:rsidRPr="00E124FF">
        <w:rPr>
          <w:rFonts w:ascii="Times New Roman" w:hAnsi="Times New Roman" w:cs="Times New Roman"/>
        </w:rPr>
        <w:t>/</w:t>
      </w:r>
      <w:r w:rsidR="00C959A3" w:rsidRPr="00E124FF">
        <w:rPr>
          <w:rFonts w:ascii="Times New Roman" w:hAnsi="Times New Roman" w:cs="Times New Roman"/>
        </w:rPr>
        <w:t>EFH will</w:t>
      </w:r>
      <w:r w:rsidR="00732625" w:rsidRPr="00E124FF">
        <w:rPr>
          <w:rFonts w:ascii="Times New Roman" w:hAnsi="Times New Roman" w:cs="Times New Roman"/>
        </w:rPr>
        <w:t xml:space="preserve"> in most cases take place </w:t>
      </w:r>
      <w:r w:rsidR="00524D18" w:rsidRPr="00E124FF">
        <w:rPr>
          <w:rFonts w:ascii="Times New Roman" w:hAnsi="Times New Roman" w:cs="Times New Roman"/>
        </w:rPr>
        <w:t xml:space="preserve">no later than week </w:t>
      </w:r>
      <w:r w:rsidR="00A66CB4" w:rsidRPr="00E124FF">
        <w:rPr>
          <w:rFonts w:ascii="Times New Roman" w:hAnsi="Times New Roman" w:cs="Times New Roman"/>
        </w:rPr>
        <w:t>19</w:t>
      </w:r>
      <w:r w:rsidR="00524D18" w:rsidRPr="00E124FF">
        <w:rPr>
          <w:rFonts w:ascii="Times New Roman" w:hAnsi="Times New Roman" w:cs="Times New Roman"/>
        </w:rPr>
        <w:t xml:space="preserve">. </w:t>
      </w:r>
    </w:p>
    <w:p w14:paraId="3CE03E73" w14:textId="77777777" w:rsidR="00C959A3" w:rsidRPr="00E124FF" w:rsidRDefault="00C959A3" w:rsidP="00C959A3">
      <w:pPr>
        <w:pStyle w:val="ListParagraph"/>
        <w:ind w:left="1080"/>
        <w:jc w:val="both"/>
        <w:rPr>
          <w:rFonts w:ascii="Times New Roman" w:hAnsi="Times New Roman" w:cs="Times New Roman"/>
        </w:rPr>
      </w:pPr>
    </w:p>
    <w:p w14:paraId="1B5E819C" w14:textId="71895BC9" w:rsidR="0066395F" w:rsidRPr="00E124FF" w:rsidRDefault="00580F1F" w:rsidP="00B16324">
      <w:pPr>
        <w:pStyle w:val="ListParagraph"/>
        <w:numPr>
          <w:ilvl w:val="0"/>
          <w:numId w:val="13"/>
        </w:numPr>
        <w:jc w:val="both"/>
        <w:rPr>
          <w:rFonts w:ascii="Times New Roman" w:hAnsi="Times New Roman" w:cs="Times New Roman"/>
        </w:rPr>
      </w:pPr>
      <w:r w:rsidRPr="00E124FF">
        <w:rPr>
          <w:rFonts w:ascii="Times New Roman" w:hAnsi="Times New Roman" w:cs="Times New Roman"/>
        </w:rPr>
        <w:t>Ro</w:t>
      </w:r>
      <w:r w:rsidR="00543835" w:rsidRPr="00E124FF">
        <w:rPr>
          <w:rFonts w:ascii="Times New Roman" w:hAnsi="Times New Roman" w:cs="Times New Roman"/>
        </w:rPr>
        <w:t>bust c</w:t>
      </w:r>
      <w:r w:rsidRPr="00E124FF">
        <w:rPr>
          <w:rFonts w:ascii="Times New Roman" w:hAnsi="Times New Roman" w:cs="Times New Roman"/>
        </w:rPr>
        <w:t>a</w:t>
      </w:r>
      <w:r w:rsidR="00543835" w:rsidRPr="00E124FF">
        <w:rPr>
          <w:rFonts w:ascii="Times New Roman" w:hAnsi="Times New Roman" w:cs="Times New Roman"/>
        </w:rPr>
        <w:t xml:space="preserve">se management </w:t>
      </w:r>
      <w:r w:rsidRPr="00E124FF">
        <w:rPr>
          <w:rFonts w:ascii="Times New Roman" w:hAnsi="Times New Roman" w:cs="Times New Roman"/>
        </w:rPr>
        <w:t>at t</w:t>
      </w:r>
      <w:r w:rsidR="00543835" w:rsidRPr="00E124FF">
        <w:rPr>
          <w:rFonts w:ascii="Times New Roman" w:hAnsi="Times New Roman" w:cs="Times New Roman"/>
        </w:rPr>
        <w:t>he IRH can avoid stress and delay for children</w:t>
      </w:r>
      <w:r w:rsidR="002E3363">
        <w:rPr>
          <w:rFonts w:ascii="Times New Roman" w:hAnsi="Times New Roman" w:cs="Times New Roman"/>
        </w:rPr>
        <w:t>,</w:t>
      </w:r>
      <w:r w:rsidR="00543835" w:rsidRPr="00E124FF">
        <w:rPr>
          <w:rFonts w:ascii="Times New Roman" w:hAnsi="Times New Roman" w:cs="Times New Roman"/>
        </w:rPr>
        <w:t xml:space="preserve"> their parents</w:t>
      </w:r>
      <w:r w:rsidR="002E3363">
        <w:rPr>
          <w:rFonts w:ascii="Times New Roman" w:hAnsi="Times New Roman" w:cs="Times New Roman"/>
        </w:rPr>
        <w:t>,</w:t>
      </w:r>
      <w:r w:rsidR="00543835" w:rsidRPr="00E124FF">
        <w:rPr>
          <w:rFonts w:ascii="Times New Roman" w:hAnsi="Times New Roman" w:cs="Times New Roman"/>
        </w:rPr>
        <w:t xml:space="preserve"> and their </w:t>
      </w:r>
      <w:r w:rsidR="00E84317" w:rsidRPr="00E124FF">
        <w:rPr>
          <w:rFonts w:ascii="Times New Roman" w:hAnsi="Times New Roman" w:cs="Times New Roman"/>
        </w:rPr>
        <w:t>carers</w:t>
      </w:r>
      <w:r w:rsidR="001175F2" w:rsidRPr="00E124FF">
        <w:rPr>
          <w:rFonts w:ascii="Times New Roman" w:hAnsi="Times New Roman" w:cs="Times New Roman"/>
        </w:rPr>
        <w:t>.</w:t>
      </w:r>
      <w:r w:rsidRPr="00E124FF">
        <w:rPr>
          <w:rFonts w:ascii="Times New Roman" w:hAnsi="Times New Roman" w:cs="Times New Roman"/>
        </w:rPr>
        <w:t xml:space="preserve"> The court will </w:t>
      </w:r>
      <w:r w:rsidR="002E3363" w:rsidRPr="002E3363">
        <w:rPr>
          <w:rFonts w:ascii="Times New Roman" w:hAnsi="Times New Roman" w:cs="Times New Roman"/>
          <w:i/>
          <w:iCs/>
        </w:rPr>
        <w:t>not</w:t>
      </w:r>
      <w:r w:rsidRPr="00E124FF">
        <w:rPr>
          <w:rFonts w:ascii="Times New Roman" w:hAnsi="Times New Roman" w:cs="Times New Roman"/>
        </w:rPr>
        <w:t xml:space="preserve"> simply accept that the case is said to be contested. Waiting for a </w:t>
      </w:r>
      <w:r w:rsidR="00E21A10" w:rsidRPr="00E124FF">
        <w:rPr>
          <w:rFonts w:ascii="Times New Roman" w:hAnsi="Times New Roman" w:cs="Times New Roman"/>
        </w:rPr>
        <w:t>contested final</w:t>
      </w:r>
      <w:r w:rsidRPr="00E124FF">
        <w:rPr>
          <w:rFonts w:ascii="Times New Roman" w:hAnsi="Times New Roman" w:cs="Times New Roman"/>
        </w:rPr>
        <w:t xml:space="preserve"> </w:t>
      </w:r>
      <w:r w:rsidR="00E84317" w:rsidRPr="00E124FF">
        <w:rPr>
          <w:rFonts w:ascii="Times New Roman" w:hAnsi="Times New Roman" w:cs="Times New Roman"/>
        </w:rPr>
        <w:t>hearing is</w:t>
      </w:r>
      <w:r w:rsidRPr="00E124FF">
        <w:rPr>
          <w:rFonts w:ascii="Times New Roman" w:hAnsi="Times New Roman" w:cs="Times New Roman"/>
        </w:rPr>
        <w:t xml:space="preserve"> </w:t>
      </w:r>
      <w:r w:rsidR="002E3363" w:rsidRPr="002E3363">
        <w:rPr>
          <w:rFonts w:ascii="Times New Roman" w:hAnsi="Times New Roman" w:cs="Times New Roman"/>
          <w:i/>
          <w:iCs/>
        </w:rPr>
        <w:t>not</w:t>
      </w:r>
      <w:r w:rsidRPr="00E124FF">
        <w:rPr>
          <w:rFonts w:ascii="Times New Roman" w:hAnsi="Times New Roman" w:cs="Times New Roman"/>
        </w:rPr>
        <w:t xml:space="preserve"> welfare neutral for the child. The parties should expect the court to give firm judicial indications (with the usual caveats). The </w:t>
      </w:r>
      <w:r w:rsidR="00C959A3" w:rsidRPr="00E124FF">
        <w:rPr>
          <w:rFonts w:ascii="Times New Roman" w:hAnsi="Times New Roman" w:cs="Times New Roman"/>
        </w:rPr>
        <w:t>IRH is</w:t>
      </w:r>
      <w:r w:rsidRPr="00E124FF">
        <w:rPr>
          <w:rFonts w:ascii="Times New Roman" w:hAnsi="Times New Roman" w:cs="Times New Roman"/>
        </w:rPr>
        <w:t xml:space="preserve"> </w:t>
      </w:r>
      <w:r w:rsidR="002E3363" w:rsidRPr="002E3363">
        <w:rPr>
          <w:rFonts w:ascii="Times New Roman" w:hAnsi="Times New Roman" w:cs="Times New Roman"/>
          <w:i/>
          <w:iCs/>
        </w:rPr>
        <w:t>not</w:t>
      </w:r>
      <w:r w:rsidRPr="00E124FF">
        <w:rPr>
          <w:rFonts w:ascii="Times New Roman" w:hAnsi="Times New Roman" w:cs="Times New Roman"/>
        </w:rPr>
        <w:t xml:space="preserve"> a prelude to a final </w:t>
      </w:r>
      <w:r w:rsidR="00E84317" w:rsidRPr="00E124FF">
        <w:rPr>
          <w:rFonts w:ascii="Times New Roman" w:hAnsi="Times New Roman" w:cs="Times New Roman"/>
        </w:rPr>
        <w:t>hearing,</w:t>
      </w:r>
      <w:r w:rsidRPr="00E124FF">
        <w:rPr>
          <w:rFonts w:ascii="Times New Roman" w:hAnsi="Times New Roman" w:cs="Times New Roman"/>
        </w:rPr>
        <w:t xml:space="preserve"> and it is </w:t>
      </w:r>
      <w:r w:rsidR="002E3363" w:rsidRPr="002E3363">
        <w:rPr>
          <w:rFonts w:ascii="Times New Roman" w:hAnsi="Times New Roman" w:cs="Times New Roman"/>
          <w:i/>
          <w:iCs/>
        </w:rPr>
        <w:t>not</w:t>
      </w:r>
      <w:r w:rsidRPr="00E124FF">
        <w:rPr>
          <w:rFonts w:ascii="Times New Roman" w:hAnsi="Times New Roman" w:cs="Times New Roman"/>
        </w:rPr>
        <w:t xml:space="preserve"> simply a </w:t>
      </w:r>
      <w:r w:rsidR="002E3363">
        <w:rPr>
          <w:rFonts w:ascii="Times New Roman" w:hAnsi="Times New Roman" w:cs="Times New Roman"/>
        </w:rPr>
        <w:t>Pre-Trial Review (“PTR”)</w:t>
      </w:r>
      <w:r w:rsidRPr="00E124FF">
        <w:rPr>
          <w:rFonts w:ascii="Times New Roman" w:hAnsi="Times New Roman" w:cs="Times New Roman"/>
        </w:rPr>
        <w:t>.</w:t>
      </w:r>
      <w:r w:rsidR="00FE4DE7" w:rsidRPr="00E124FF">
        <w:rPr>
          <w:rFonts w:ascii="Times New Roman" w:hAnsi="Times New Roman" w:cs="Times New Roman"/>
        </w:rPr>
        <w:t xml:space="preserve"> </w:t>
      </w:r>
      <w:r w:rsidR="00E21A10" w:rsidRPr="00E124FF">
        <w:rPr>
          <w:rFonts w:ascii="Times New Roman" w:hAnsi="Times New Roman" w:cs="Times New Roman"/>
        </w:rPr>
        <w:t>Ideally</w:t>
      </w:r>
      <w:r w:rsidR="00FE4DE7" w:rsidRPr="00E124FF">
        <w:rPr>
          <w:rFonts w:ascii="Times New Roman" w:hAnsi="Times New Roman" w:cs="Times New Roman"/>
        </w:rPr>
        <w:t xml:space="preserve"> IRHs </w:t>
      </w:r>
      <w:r w:rsidR="00C959A3" w:rsidRPr="00E124FF">
        <w:rPr>
          <w:rFonts w:ascii="Times New Roman" w:hAnsi="Times New Roman" w:cs="Times New Roman"/>
        </w:rPr>
        <w:t>will be</w:t>
      </w:r>
      <w:r w:rsidR="00FE4DE7" w:rsidRPr="00E124FF">
        <w:rPr>
          <w:rFonts w:ascii="Times New Roman" w:hAnsi="Times New Roman" w:cs="Times New Roman"/>
        </w:rPr>
        <w:t xml:space="preserve"> listed for </w:t>
      </w:r>
      <w:r w:rsidR="00C959A3" w:rsidRPr="00E124FF">
        <w:rPr>
          <w:rFonts w:ascii="Times New Roman" w:hAnsi="Times New Roman" w:cs="Times New Roman"/>
        </w:rPr>
        <w:t xml:space="preserve">½ a day </w:t>
      </w:r>
      <w:r w:rsidR="00FE4DE7" w:rsidRPr="00E124FF">
        <w:rPr>
          <w:rFonts w:ascii="Times New Roman" w:hAnsi="Times New Roman" w:cs="Times New Roman"/>
        </w:rPr>
        <w:t>to facilitate</w:t>
      </w:r>
      <w:r w:rsidR="00E21A10" w:rsidRPr="00E124FF">
        <w:rPr>
          <w:rFonts w:ascii="Times New Roman" w:hAnsi="Times New Roman" w:cs="Times New Roman"/>
        </w:rPr>
        <w:t xml:space="preserve"> </w:t>
      </w:r>
      <w:r w:rsidR="00E84317" w:rsidRPr="00E124FF">
        <w:rPr>
          <w:rFonts w:ascii="Times New Roman" w:hAnsi="Times New Roman" w:cs="Times New Roman"/>
        </w:rPr>
        <w:t>robust case</w:t>
      </w:r>
      <w:r w:rsidR="00FE4DE7" w:rsidRPr="00E124FF">
        <w:rPr>
          <w:rFonts w:ascii="Times New Roman" w:hAnsi="Times New Roman" w:cs="Times New Roman"/>
        </w:rPr>
        <w:t xml:space="preserve"> management and the narrowing /concluding of issues. </w:t>
      </w:r>
    </w:p>
    <w:p w14:paraId="212C88E2" w14:textId="65E6FB28" w:rsidR="0066395F" w:rsidRPr="00E124FF" w:rsidRDefault="0066395F" w:rsidP="0066395F">
      <w:pPr>
        <w:pStyle w:val="ListParagraph"/>
        <w:jc w:val="both"/>
        <w:rPr>
          <w:rFonts w:ascii="Times New Roman" w:hAnsi="Times New Roman" w:cs="Times New Roman"/>
        </w:rPr>
      </w:pPr>
    </w:p>
    <w:p w14:paraId="1F8D6A2D" w14:textId="299BE091" w:rsidR="00E84317" w:rsidRPr="00E124FF" w:rsidRDefault="00E84317" w:rsidP="00E84317">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The expectation of the court is that proceedings will conclude at the IRH/EFH. </w:t>
      </w:r>
      <w:r>
        <w:rPr>
          <w:rFonts w:ascii="Times New Roman" w:hAnsi="Times New Roman" w:cs="Times New Roman"/>
        </w:rPr>
        <w:t xml:space="preserve">The threshold cannot determinatively be resolved by agreement, but </w:t>
      </w:r>
      <w:r w:rsidR="000E0D1E">
        <w:rPr>
          <w:rFonts w:ascii="Times New Roman" w:hAnsi="Times New Roman" w:cs="Times New Roman"/>
        </w:rPr>
        <w:t xml:space="preserve">at the IRH/EFH </w:t>
      </w:r>
      <w:r>
        <w:rPr>
          <w:rFonts w:ascii="Times New Roman" w:hAnsi="Times New Roman" w:cs="Times New Roman"/>
        </w:rPr>
        <w:t>the court will scrutinise the admitted evidence and determine whether the threshold condition is met and whether it is necessary to determine any other issues</w:t>
      </w:r>
      <w:r w:rsidR="001A0C26">
        <w:rPr>
          <w:rFonts w:ascii="Times New Roman" w:hAnsi="Times New Roman" w:cs="Times New Roman"/>
        </w:rPr>
        <w:t xml:space="preserve"> (see </w:t>
      </w:r>
      <w:r w:rsidR="001A0C26" w:rsidRPr="001A0C26">
        <w:rPr>
          <w:rFonts w:ascii="Times New Roman" w:hAnsi="Times New Roman" w:cs="Times New Roman"/>
          <w:i/>
          <w:iCs/>
          <w:u w:val="single"/>
        </w:rPr>
        <w:t>Re D (Threshold Findings and Final Orders at IRH)</w:t>
      </w:r>
      <w:r w:rsidR="001A0C26" w:rsidRPr="001A0C26">
        <w:rPr>
          <w:u w:val="single"/>
        </w:rPr>
        <w:t xml:space="preserve"> </w:t>
      </w:r>
      <w:r w:rsidR="001A0C26" w:rsidRPr="001A0C26">
        <w:rPr>
          <w:rFonts w:ascii="Times New Roman" w:hAnsi="Times New Roman" w:cs="Times New Roman"/>
          <w:u w:val="single"/>
        </w:rPr>
        <w:t>[2025] EWCA Civ 1362</w:t>
      </w:r>
      <w:r w:rsidR="001A0C26">
        <w:rPr>
          <w:rFonts w:ascii="Times New Roman" w:hAnsi="Times New Roman" w:cs="Times New Roman"/>
        </w:rPr>
        <w:t xml:space="preserve"> and </w:t>
      </w:r>
      <w:r w:rsidR="001A0C26" w:rsidRPr="001A0C26">
        <w:rPr>
          <w:rFonts w:ascii="Times New Roman" w:hAnsi="Times New Roman" w:cs="Times New Roman"/>
          <w:i/>
          <w:iCs/>
          <w:u w:val="single"/>
        </w:rPr>
        <w:t>Re H (Final Care Orders at IRH)</w:t>
      </w:r>
      <w:r w:rsidR="001A0C26" w:rsidRPr="001A0C26">
        <w:rPr>
          <w:rFonts w:ascii="Times New Roman" w:hAnsi="Times New Roman" w:cs="Times New Roman"/>
          <w:u w:val="single"/>
        </w:rPr>
        <w:t xml:space="preserve"> [2025] EWCA Civ 1342</w:t>
      </w:r>
      <w:r w:rsidR="001A0C26">
        <w:rPr>
          <w:rFonts w:ascii="Times New Roman" w:hAnsi="Times New Roman" w:cs="Times New Roman"/>
        </w:rPr>
        <w:t>)</w:t>
      </w:r>
      <w:r>
        <w:rPr>
          <w:rFonts w:ascii="Times New Roman" w:hAnsi="Times New Roman" w:cs="Times New Roman"/>
        </w:rPr>
        <w:t xml:space="preserve">. </w:t>
      </w:r>
      <w:r w:rsidR="000E0D1E">
        <w:rPr>
          <w:rFonts w:ascii="Times New Roman" w:hAnsi="Times New Roman" w:cs="Times New Roman"/>
        </w:rPr>
        <w:t xml:space="preserve">The court will also consider the permanence provisions of any care plan and the issue of contact (see </w:t>
      </w:r>
      <w:r w:rsidR="002E3363">
        <w:rPr>
          <w:rFonts w:ascii="Times New Roman" w:hAnsi="Times New Roman" w:cs="Times New Roman"/>
        </w:rPr>
        <w:t>ss.</w:t>
      </w:r>
      <w:r w:rsidR="000E0D1E">
        <w:rPr>
          <w:rFonts w:ascii="Times New Roman" w:hAnsi="Times New Roman" w:cs="Times New Roman"/>
        </w:rPr>
        <w:t xml:space="preserve">31(3A), 31(3B) and 34(11) </w:t>
      </w:r>
      <w:r w:rsidR="002E3363">
        <w:rPr>
          <w:rFonts w:ascii="Times New Roman" w:hAnsi="Times New Roman" w:cs="Times New Roman"/>
        </w:rPr>
        <w:t xml:space="preserve">of the </w:t>
      </w:r>
      <w:r w:rsidR="000E0D1E">
        <w:rPr>
          <w:rFonts w:ascii="Times New Roman" w:hAnsi="Times New Roman" w:cs="Times New Roman"/>
        </w:rPr>
        <w:t>C</w:t>
      </w:r>
      <w:r w:rsidR="002E3363">
        <w:rPr>
          <w:rFonts w:ascii="Times New Roman" w:hAnsi="Times New Roman" w:cs="Times New Roman"/>
        </w:rPr>
        <w:t xml:space="preserve">hildren </w:t>
      </w:r>
      <w:r w:rsidR="000E0D1E">
        <w:rPr>
          <w:rFonts w:ascii="Times New Roman" w:hAnsi="Times New Roman" w:cs="Times New Roman"/>
        </w:rPr>
        <w:t>A</w:t>
      </w:r>
      <w:r w:rsidR="002E3363">
        <w:rPr>
          <w:rFonts w:ascii="Times New Roman" w:hAnsi="Times New Roman" w:cs="Times New Roman"/>
        </w:rPr>
        <w:t>ct</w:t>
      </w:r>
      <w:r w:rsidR="000E0D1E">
        <w:rPr>
          <w:rFonts w:ascii="Times New Roman" w:hAnsi="Times New Roman" w:cs="Times New Roman"/>
        </w:rPr>
        <w:t xml:space="preserve"> 1989). At the IRH/EFH, n</w:t>
      </w:r>
      <w:r w:rsidRPr="00E124FF">
        <w:rPr>
          <w:rFonts w:ascii="Times New Roman" w:hAnsi="Times New Roman" w:cs="Times New Roman"/>
        </w:rPr>
        <w:t>arrow disputed issues</w:t>
      </w:r>
      <w:r>
        <w:rPr>
          <w:rFonts w:ascii="Times New Roman" w:hAnsi="Times New Roman" w:cs="Times New Roman"/>
        </w:rPr>
        <w:t xml:space="preserve"> (threshold and/or </w:t>
      </w:r>
      <w:r w:rsidR="000E0D1E">
        <w:rPr>
          <w:rFonts w:ascii="Times New Roman" w:hAnsi="Times New Roman" w:cs="Times New Roman"/>
        </w:rPr>
        <w:t>welfare)</w:t>
      </w:r>
      <w:r w:rsidR="000E0D1E" w:rsidRPr="00E124FF">
        <w:rPr>
          <w:rFonts w:ascii="Times New Roman" w:hAnsi="Times New Roman" w:cs="Times New Roman"/>
        </w:rPr>
        <w:t xml:space="preserve"> </w:t>
      </w:r>
      <w:r w:rsidR="000E0D1E">
        <w:rPr>
          <w:rFonts w:ascii="Times New Roman" w:hAnsi="Times New Roman" w:cs="Times New Roman"/>
        </w:rPr>
        <w:t xml:space="preserve">will </w:t>
      </w:r>
      <w:r w:rsidRPr="00E124FF">
        <w:rPr>
          <w:rFonts w:ascii="Times New Roman" w:hAnsi="Times New Roman" w:cs="Times New Roman"/>
        </w:rPr>
        <w:t>be dealt with by submissions or the hearing of oral evidence, where necessary</w:t>
      </w:r>
      <w:r>
        <w:rPr>
          <w:rFonts w:ascii="Times New Roman" w:hAnsi="Times New Roman" w:cs="Times New Roman"/>
        </w:rPr>
        <w:t>.</w:t>
      </w:r>
    </w:p>
    <w:p w14:paraId="756EC8F6" w14:textId="77777777" w:rsidR="00E84317" w:rsidRPr="00E84317" w:rsidRDefault="00E84317" w:rsidP="00E84317">
      <w:pPr>
        <w:pStyle w:val="ListParagraph"/>
        <w:rPr>
          <w:rFonts w:ascii="Times New Roman" w:eastAsia="Times New Roman" w:hAnsi="Times New Roman" w:cs="Times New Roman"/>
          <w:lang w:eastAsia="en-GB"/>
        </w:rPr>
      </w:pPr>
    </w:p>
    <w:p w14:paraId="4F60F11E" w14:textId="695AAFD9" w:rsidR="00ED3F51" w:rsidRPr="00E124FF" w:rsidRDefault="00ED3F51" w:rsidP="002E3363">
      <w:pPr>
        <w:pStyle w:val="ListParagraph"/>
        <w:numPr>
          <w:ilvl w:val="0"/>
          <w:numId w:val="13"/>
        </w:numPr>
        <w:spacing w:after="0" w:line="240" w:lineRule="auto"/>
        <w:rPr>
          <w:rFonts w:ascii="Times New Roman" w:eastAsia="Times New Roman" w:hAnsi="Times New Roman" w:cs="Times New Roman"/>
          <w:lang w:eastAsia="en-GB"/>
        </w:rPr>
      </w:pPr>
      <w:r w:rsidRPr="00E124FF">
        <w:rPr>
          <w:rFonts w:ascii="Times New Roman" w:eastAsia="Times New Roman" w:hAnsi="Times New Roman" w:cs="Times New Roman"/>
          <w:lang w:eastAsia="en-GB"/>
        </w:rPr>
        <w:t>When a case is listed for final hearing:</w:t>
      </w:r>
    </w:p>
    <w:p w14:paraId="29526B02" w14:textId="4D56A7AC" w:rsidR="62744977" w:rsidRPr="00E124FF" w:rsidRDefault="62744977" w:rsidP="002E3363">
      <w:pPr>
        <w:pStyle w:val="ListParagraph"/>
        <w:spacing w:after="0"/>
        <w:ind w:left="1080"/>
        <w:jc w:val="both"/>
        <w:rPr>
          <w:rFonts w:ascii="Times New Roman" w:hAnsi="Times New Roman" w:cs="Times New Roman"/>
        </w:rPr>
      </w:pPr>
    </w:p>
    <w:p w14:paraId="4CC0DC82" w14:textId="24174E25" w:rsidR="00607F50" w:rsidRPr="00E124FF" w:rsidRDefault="00607F50" w:rsidP="002E3363">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 xml:space="preserve">The contested issues </w:t>
      </w:r>
      <w:r w:rsidR="00E84317" w:rsidRPr="00E124FF">
        <w:rPr>
          <w:rFonts w:ascii="Times New Roman" w:hAnsi="Times New Roman" w:cs="Times New Roman"/>
        </w:rPr>
        <w:t>are clearly</w:t>
      </w:r>
      <w:r w:rsidRPr="00E124FF">
        <w:rPr>
          <w:rFonts w:ascii="Times New Roman" w:hAnsi="Times New Roman" w:cs="Times New Roman"/>
        </w:rPr>
        <w:t xml:space="preserve"> identified</w:t>
      </w:r>
    </w:p>
    <w:p w14:paraId="69769567" w14:textId="77777777" w:rsidR="002E3363" w:rsidRPr="002E3363" w:rsidRDefault="002E3363" w:rsidP="002E3363">
      <w:pPr>
        <w:spacing w:after="0"/>
        <w:ind w:left="1440"/>
        <w:jc w:val="both"/>
        <w:rPr>
          <w:rFonts w:ascii="Times New Roman" w:hAnsi="Times New Roman" w:cs="Times New Roman"/>
        </w:rPr>
      </w:pPr>
    </w:p>
    <w:p w14:paraId="1DD84929" w14:textId="22FD4617" w:rsidR="00607F50" w:rsidRPr="00E124FF" w:rsidRDefault="00607F50" w:rsidP="002E3363">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The witnesses required to determine the issues must be identified</w:t>
      </w:r>
    </w:p>
    <w:p w14:paraId="6AECEC00" w14:textId="77777777" w:rsidR="002E3363" w:rsidRPr="002E3363" w:rsidRDefault="002E3363" w:rsidP="002E3363">
      <w:pPr>
        <w:spacing w:after="0"/>
        <w:ind w:left="1440"/>
        <w:jc w:val="both"/>
        <w:rPr>
          <w:rFonts w:ascii="Times New Roman" w:hAnsi="Times New Roman" w:cs="Times New Roman"/>
        </w:rPr>
      </w:pPr>
    </w:p>
    <w:p w14:paraId="0D7B6CE2" w14:textId="5B8DD338" w:rsidR="00607F50" w:rsidRPr="00E124FF" w:rsidRDefault="00607F50" w:rsidP="002E3363">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A fully completed witness template</w:t>
      </w:r>
      <w:r w:rsidR="00C959A3" w:rsidRPr="00E124FF">
        <w:rPr>
          <w:rFonts w:ascii="Times New Roman" w:hAnsi="Times New Roman" w:cs="Times New Roman"/>
        </w:rPr>
        <w:t xml:space="preserve"> </w:t>
      </w:r>
      <w:r w:rsidR="00E84317">
        <w:rPr>
          <w:rFonts w:ascii="Times New Roman" w:hAnsi="Times New Roman" w:cs="Times New Roman"/>
        </w:rPr>
        <w:t>must be</w:t>
      </w:r>
      <w:r w:rsidR="00C959A3" w:rsidRPr="00E124FF">
        <w:rPr>
          <w:rFonts w:ascii="Times New Roman" w:hAnsi="Times New Roman" w:cs="Times New Roman"/>
        </w:rPr>
        <w:t xml:space="preserve"> </w:t>
      </w:r>
      <w:r w:rsidRPr="00E124FF">
        <w:rPr>
          <w:rFonts w:ascii="Times New Roman" w:hAnsi="Times New Roman" w:cs="Times New Roman"/>
        </w:rPr>
        <w:t xml:space="preserve">approved by the court. The witness template must </w:t>
      </w:r>
      <w:r w:rsidR="00505F5B" w:rsidRPr="00E124FF">
        <w:rPr>
          <w:rFonts w:ascii="Times New Roman" w:hAnsi="Times New Roman" w:cs="Times New Roman"/>
        </w:rPr>
        <w:t xml:space="preserve">set out the issue to which the witness required to attend is relevant and include an accurate time estimate for each witness. </w:t>
      </w:r>
    </w:p>
    <w:p w14:paraId="75B3F47D" w14:textId="77777777" w:rsidR="002E3363" w:rsidRPr="002E3363" w:rsidRDefault="002E3363" w:rsidP="002E3363">
      <w:pPr>
        <w:spacing w:after="0"/>
        <w:ind w:left="1440"/>
        <w:jc w:val="both"/>
        <w:rPr>
          <w:rFonts w:ascii="Times New Roman" w:hAnsi="Times New Roman" w:cs="Times New Roman"/>
        </w:rPr>
      </w:pPr>
    </w:p>
    <w:p w14:paraId="530CDC6A" w14:textId="49DE7178" w:rsidR="00607F50" w:rsidRPr="00E124FF" w:rsidRDefault="00607F50" w:rsidP="002E3363">
      <w:pPr>
        <w:pStyle w:val="ListParagraph"/>
        <w:numPr>
          <w:ilvl w:val="1"/>
          <w:numId w:val="13"/>
        </w:numPr>
        <w:spacing w:after="0"/>
        <w:jc w:val="both"/>
        <w:rPr>
          <w:rFonts w:ascii="Times New Roman" w:hAnsi="Times New Roman" w:cs="Times New Roman"/>
        </w:rPr>
      </w:pPr>
      <w:r w:rsidRPr="00E124FF">
        <w:rPr>
          <w:rFonts w:ascii="Times New Roman" w:hAnsi="Times New Roman" w:cs="Times New Roman"/>
        </w:rPr>
        <w:t xml:space="preserve">The time estimate for the </w:t>
      </w:r>
      <w:r w:rsidR="00C959A3" w:rsidRPr="00E124FF">
        <w:rPr>
          <w:rFonts w:ascii="Times New Roman" w:hAnsi="Times New Roman" w:cs="Times New Roman"/>
        </w:rPr>
        <w:t xml:space="preserve">final </w:t>
      </w:r>
      <w:r w:rsidR="00E84317" w:rsidRPr="00E124FF">
        <w:rPr>
          <w:rFonts w:ascii="Times New Roman" w:hAnsi="Times New Roman" w:cs="Times New Roman"/>
        </w:rPr>
        <w:t>hearing must</w:t>
      </w:r>
      <w:r w:rsidRPr="00E124FF">
        <w:rPr>
          <w:rFonts w:ascii="Times New Roman" w:hAnsi="Times New Roman" w:cs="Times New Roman"/>
        </w:rPr>
        <w:t xml:space="preserve"> be proportionate to the issues in dispute and include time for judgment preparation</w:t>
      </w:r>
    </w:p>
    <w:p w14:paraId="3BA279A8" w14:textId="77777777" w:rsidR="004B345B" w:rsidRPr="00E124FF" w:rsidRDefault="004B345B" w:rsidP="004B345B">
      <w:pPr>
        <w:pStyle w:val="ListParagraph"/>
        <w:jc w:val="both"/>
        <w:rPr>
          <w:rFonts w:ascii="Times New Roman" w:hAnsi="Times New Roman" w:cs="Times New Roman"/>
        </w:rPr>
      </w:pPr>
    </w:p>
    <w:p w14:paraId="2EBC0BF8" w14:textId="2F4A145A" w:rsidR="00CC3F31" w:rsidRPr="00E124FF" w:rsidRDefault="000E0D1E" w:rsidP="000E0D1E">
      <w:pPr>
        <w:pStyle w:val="ListParagraph"/>
        <w:numPr>
          <w:ilvl w:val="0"/>
          <w:numId w:val="13"/>
        </w:numPr>
        <w:jc w:val="both"/>
        <w:rPr>
          <w:rFonts w:ascii="Times New Roman" w:hAnsi="Times New Roman" w:cs="Times New Roman"/>
        </w:rPr>
      </w:pPr>
      <w:r>
        <w:rPr>
          <w:rFonts w:ascii="Times New Roman" w:hAnsi="Times New Roman" w:cs="Times New Roman"/>
          <w:color w:val="000000"/>
        </w:rPr>
        <w:t>Cases will not be listed for final hearing until after the IRH/EFH unless they are genuinely exceptional and complex.</w:t>
      </w:r>
    </w:p>
    <w:p w14:paraId="667ECA2E" w14:textId="77777777" w:rsidR="002E3363" w:rsidRPr="002E3363" w:rsidRDefault="00C959A3" w:rsidP="002E3363">
      <w:pPr>
        <w:jc w:val="both"/>
        <w:rPr>
          <w:rFonts w:ascii="Times New Roman" w:hAnsi="Times New Roman" w:cs="Times New Roman"/>
          <w:b/>
          <w:bCs/>
          <w:i/>
          <w:iCs/>
        </w:rPr>
      </w:pPr>
      <w:r w:rsidRPr="002E3363">
        <w:rPr>
          <w:rFonts w:ascii="Times New Roman" w:hAnsi="Times New Roman" w:cs="Times New Roman"/>
          <w:b/>
          <w:bCs/>
          <w:i/>
          <w:iCs/>
        </w:rPr>
        <w:t>Bundles</w:t>
      </w:r>
    </w:p>
    <w:p w14:paraId="46026165" w14:textId="28249871" w:rsidR="00CC3F31" w:rsidRPr="00E124FF" w:rsidRDefault="00CC3F31" w:rsidP="002E3363">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PD27A applies to the bundles which </w:t>
      </w:r>
      <w:r w:rsidR="0078008D" w:rsidRPr="00E124FF">
        <w:rPr>
          <w:rFonts w:ascii="Times New Roman" w:hAnsi="Times New Roman" w:cs="Times New Roman"/>
        </w:rPr>
        <w:t>must be prepared for the hearing</w:t>
      </w:r>
      <w:r w:rsidR="003F527D" w:rsidRPr="00E124FF">
        <w:rPr>
          <w:rFonts w:ascii="Times New Roman" w:hAnsi="Times New Roman" w:cs="Times New Roman"/>
        </w:rPr>
        <w:t xml:space="preserve"> whether the case is proceeding in paper form or electronically.</w:t>
      </w:r>
    </w:p>
    <w:p w14:paraId="6104D8C6" w14:textId="77777777" w:rsidR="00F35942" w:rsidRPr="002E3363" w:rsidRDefault="00F35942" w:rsidP="002E3363">
      <w:pPr>
        <w:jc w:val="both"/>
        <w:rPr>
          <w:rFonts w:ascii="Times New Roman" w:hAnsi="Times New Roman" w:cs="Times New Roman"/>
          <w:b/>
          <w:bCs/>
          <w:i/>
          <w:iCs/>
        </w:rPr>
      </w:pPr>
      <w:r w:rsidRPr="002E3363">
        <w:rPr>
          <w:rFonts w:ascii="Times New Roman" w:hAnsi="Times New Roman" w:cs="Times New Roman"/>
          <w:b/>
          <w:bCs/>
          <w:i/>
          <w:iCs/>
        </w:rPr>
        <w:t xml:space="preserve">Compliance </w:t>
      </w:r>
    </w:p>
    <w:p w14:paraId="1E247BA4" w14:textId="2FF46D6F" w:rsidR="00F35942" w:rsidRPr="00E124FF" w:rsidRDefault="004B345B" w:rsidP="00F35942">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Every </w:t>
      </w:r>
      <w:r w:rsidR="000E0D1E" w:rsidRPr="00E124FF">
        <w:rPr>
          <w:rFonts w:ascii="Times New Roman" w:hAnsi="Times New Roman" w:cs="Times New Roman"/>
        </w:rPr>
        <w:t>practitioner has</w:t>
      </w:r>
      <w:r w:rsidR="00200A0F" w:rsidRPr="00E124FF">
        <w:rPr>
          <w:rFonts w:ascii="Times New Roman" w:hAnsi="Times New Roman" w:cs="Times New Roman"/>
        </w:rPr>
        <w:t xml:space="preserve"> a duty to help the </w:t>
      </w:r>
      <w:r w:rsidR="00056321" w:rsidRPr="00E124FF">
        <w:rPr>
          <w:rFonts w:ascii="Times New Roman" w:hAnsi="Times New Roman" w:cs="Times New Roman"/>
        </w:rPr>
        <w:t>court</w:t>
      </w:r>
      <w:r w:rsidR="00200A0F" w:rsidRPr="00E124FF">
        <w:rPr>
          <w:rFonts w:ascii="Times New Roman" w:hAnsi="Times New Roman" w:cs="Times New Roman"/>
        </w:rPr>
        <w:t xml:space="preserve"> to further the overriding objective</w:t>
      </w:r>
      <w:r w:rsidR="00B4125D" w:rsidRPr="00E124FF">
        <w:rPr>
          <w:rFonts w:ascii="Times New Roman" w:hAnsi="Times New Roman" w:cs="Times New Roman"/>
        </w:rPr>
        <w:t>. E</w:t>
      </w:r>
      <w:r w:rsidR="004D051E" w:rsidRPr="00E124FF">
        <w:rPr>
          <w:rFonts w:ascii="Times New Roman" w:hAnsi="Times New Roman" w:cs="Times New Roman"/>
        </w:rPr>
        <w:t>v</w:t>
      </w:r>
      <w:r w:rsidR="00B4125D" w:rsidRPr="00E124FF">
        <w:rPr>
          <w:rFonts w:ascii="Times New Roman" w:hAnsi="Times New Roman" w:cs="Times New Roman"/>
        </w:rPr>
        <w:t xml:space="preserve">ery </w:t>
      </w:r>
      <w:r w:rsidR="000E0D1E">
        <w:rPr>
          <w:rFonts w:ascii="Times New Roman" w:hAnsi="Times New Roman" w:cs="Times New Roman"/>
        </w:rPr>
        <w:t xml:space="preserve">practitioner, </w:t>
      </w:r>
      <w:r w:rsidR="00B4125D" w:rsidRPr="00E124FF">
        <w:rPr>
          <w:rFonts w:ascii="Times New Roman" w:hAnsi="Times New Roman" w:cs="Times New Roman"/>
        </w:rPr>
        <w:t xml:space="preserve">professional and witness </w:t>
      </w:r>
      <w:r w:rsidRPr="00E124FF">
        <w:rPr>
          <w:rFonts w:ascii="Times New Roman" w:hAnsi="Times New Roman" w:cs="Times New Roman"/>
        </w:rPr>
        <w:t xml:space="preserve">has an obligation to comply with case management directions.  </w:t>
      </w:r>
    </w:p>
    <w:p w14:paraId="5E524BDC" w14:textId="77777777" w:rsidR="00F35942" w:rsidRPr="00E124FF" w:rsidRDefault="00F35942" w:rsidP="00F35942">
      <w:pPr>
        <w:pStyle w:val="ListParagraph"/>
        <w:ind w:left="1080"/>
        <w:jc w:val="both"/>
        <w:rPr>
          <w:rFonts w:ascii="Times New Roman" w:hAnsi="Times New Roman" w:cs="Times New Roman"/>
        </w:rPr>
      </w:pPr>
    </w:p>
    <w:p w14:paraId="5930018D" w14:textId="0788CCEE" w:rsidR="002E3363" w:rsidRDefault="004B345B" w:rsidP="001A0C26">
      <w:pPr>
        <w:pStyle w:val="ListParagraph"/>
        <w:numPr>
          <w:ilvl w:val="0"/>
          <w:numId w:val="13"/>
        </w:numPr>
        <w:jc w:val="both"/>
        <w:rPr>
          <w:rFonts w:ascii="Times New Roman" w:hAnsi="Times New Roman" w:cs="Times New Roman"/>
        </w:rPr>
      </w:pPr>
      <w:r w:rsidRPr="00E124FF">
        <w:rPr>
          <w:rFonts w:ascii="Times New Roman" w:hAnsi="Times New Roman" w:cs="Times New Roman"/>
        </w:rPr>
        <w:t xml:space="preserve">Where there is </w:t>
      </w:r>
      <w:r w:rsidR="000E0D1E" w:rsidRPr="00E124FF">
        <w:rPr>
          <w:rFonts w:ascii="Times New Roman" w:hAnsi="Times New Roman" w:cs="Times New Roman"/>
        </w:rPr>
        <w:t>non-compliance,</w:t>
      </w:r>
      <w:r w:rsidRPr="00E124FF">
        <w:rPr>
          <w:rFonts w:ascii="Times New Roman" w:hAnsi="Times New Roman" w:cs="Times New Roman"/>
        </w:rPr>
        <w:t xml:space="preserve"> the parties have an immediate obligation to actively engage with each other to resolve the breach and discuss propose directions in order to ensure that each </w:t>
      </w:r>
      <w:r w:rsidR="000E0D1E" w:rsidRPr="00E124FF">
        <w:rPr>
          <w:rFonts w:ascii="Times New Roman" w:hAnsi="Times New Roman" w:cs="Times New Roman"/>
        </w:rPr>
        <w:t>hearing remains</w:t>
      </w:r>
      <w:r w:rsidR="00B4125D" w:rsidRPr="00E124FF">
        <w:rPr>
          <w:rFonts w:ascii="Times New Roman" w:hAnsi="Times New Roman" w:cs="Times New Roman"/>
        </w:rPr>
        <w:t xml:space="preserve"> as </w:t>
      </w:r>
      <w:r w:rsidRPr="00E124FF">
        <w:rPr>
          <w:rFonts w:ascii="Times New Roman" w:hAnsi="Times New Roman" w:cs="Times New Roman"/>
        </w:rPr>
        <w:t xml:space="preserve">listed </w:t>
      </w:r>
      <w:r w:rsidR="00B4125D" w:rsidRPr="00E124FF">
        <w:rPr>
          <w:rFonts w:ascii="Times New Roman" w:hAnsi="Times New Roman" w:cs="Times New Roman"/>
        </w:rPr>
        <w:t xml:space="preserve">and </w:t>
      </w:r>
      <w:r w:rsidRPr="00E124FF">
        <w:rPr>
          <w:rFonts w:ascii="Times New Roman" w:hAnsi="Times New Roman" w:cs="Times New Roman"/>
        </w:rPr>
        <w:t>is effective.  That may, for example, include a revised draft timetable. Where re-timetabling is sought (by consent or otherwise) a C2 application must be made at the earliest opportunity on FPL</w:t>
      </w:r>
      <w:r w:rsidR="000E0D1E">
        <w:rPr>
          <w:rFonts w:ascii="Times New Roman" w:hAnsi="Times New Roman" w:cs="Times New Roman"/>
        </w:rPr>
        <w:t xml:space="preserve"> and </w:t>
      </w:r>
      <w:r w:rsidRPr="00E124FF">
        <w:rPr>
          <w:rFonts w:ascii="Times New Roman" w:hAnsi="Times New Roman" w:cs="Times New Roman"/>
        </w:rPr>
        <w:t xml:space="preserve">include a draft order as well as an explanation for the default. Where a consent order is lodged with a C2 the party first in default should make the application and pay the fee. </w:t>
      </w:r>
      <w:r w:rsidR="00915116">
        <w:rPr>
          <w:rFonts w:ascii="Times New Roman" w:hAnsi="Times New Roman" w:cs="Times New Roman"/>
        </w:rPr>
        <w:t>Such an application is to enable</w:t>
      </w:r>
      <w:r w:rsidR="007055BA" w:rsidRPr="00E124FF">
        <w:rPr>
          <w:rFonts w:ascii="Times New Roman" w:hAnsi="Times New Roman" w:cs="Times New Roman"/>
        </w:rPr>
        <w:t xml:space="preserve"> re-timetabling within the overarching </w:t>
      </w:r>
      <w:r w:rsidR="00391C86" w:rsidRPr="00E124FF">
        <w:rPr>
          <w:rFonts w:ascii="Times New Roman" w:hAnsi="Times New Roman" w:cs="Times New Roman"/>
        </w:rPr>
        <w:t xml:space="preserve">timetabling by the </w:t>
      </w:r>
      <w:r w:rsidR="004D051E" w:rsidRPr="00E124FF">
        <w:rPr>
          <w:rFonts w:ascii="Times New Roman" w:hAnsi="Times New Roman" w:cs="Times New Roman"/>
        </w:rPr>
        <w:t>court</w:t>
      </w:r>
      <w:r w:rsidR="00391C86" w:rsidRPr="00E124FF">
        <w:rPr>
          <w:rFonts w:ascii="Times New Roman" w:hAnsi="Times New Roman" w:cs="Times New Roman"/>
        </w:rPr>
        <w:t xml:space="preserve">. It does </w:t>
      </w:r>
      <w:r w:rsidR="002E3363" w:rsidRPr="002E3363">
        <w:rPr>
          <w:rFonts w:ascii="Times New Roman" w:hAnsi="Times New Roman" w:cs="Times New Roman"/>
          <w:i/>
          <w:iCs/>
        </w:rPr>
        <w:t>not</w:t>
      </w:r>
      <w:r w:rsidR="001F7AFE" w:rsidRPr="00E124FF">
        <w:rPr>
          <w:rFonts w:ascii="Times New Roman" w:hAnsi="Times New Roman" w:cs="Times New Roman"/>
        </w:rPr>
        <w:t xml:space="preserve"> permit</w:t>
      </w:r>
      <w:r w:rsidR="00391C86" w:rsidRPr="00E124FF">
        <w:rPr>
          <w:rFonts w:ascii="Times New Roman" w:hAnsi="Times New Roman" w:cs="Times New Roman"/>
        </w:rPr>
        <w:t xml:space="preserve"> </w:t>
      </w:r>
      <w:r w:rsidR="004D051E" w:rsidRPr="00E124FF">
        <w:rPr>
          <w:rFonts w:ascii="Times New Roman" w:hAnsi="Times New Roman" w:cs="Times New Roman"/>
        </w:rPr>
        <w:t>a</w:t>
      </w:r>
      <w:r w:rsidR="00391C86" w:rsidRPr="00E124FF">
        <w:rPr>
          <w:rFonts w:ascii="Times New Roman" w:hAnsi="Times New Roman" w:cs="Times New Roman"/>
        </w:rPr>
        <w:t xml:space="preserve">ny party to extend the statutory </w:t>
      </w:r>
      <w:r w:rsidR="00041E7F" w:rsidRPr="00E124FF">
        <w:rPr>
          <w:rFonts w:ascii="Times New Roman" w:hAnsi="Times New Roman" w:cs="Times New Roman"/>
        </w:rPr>
        <w:t>timetable</w:t>
      </w:r>
      <w:r w:rsidR="00391C86" w:rsidRPr="00E124FF">
        <w:rPr>
          <w:rFonts w:ascii="Times New Roman" w:hAnsi="Times New Roman" w:cs="Times New Roman"/>
        </w:rPr>
        <w:t xml:space="preserve"> by consent o</w:t>
      </w:r>
      <w:r w:rsidR="006B21A4" w:rsidRPr="00E124FF">
        <w:rPr>
          <w:rFonts w:ascii="Times New Roman" w:hAnsi="Times New Roman" w:cs="Times New Roman"/>
        </w:rPr>
        <w:t>r</w:t>
      </w:r>
      <w:r w:rsidR="00391C86" w:rsidRPr="00E124FF">
        <w:rPr>
          <w:rFonts w:ascii="Times New Roman" w:hAnsi="Times New Roman" w:cs="Times New Roman"/>
        </w:rPr>
        <w:t xml:space="preserve"> to seek to re</w:t>
      </w:r>
      <w:r w:rsidR="006B21A4" w:rsidRPr="00E124FF">
        <w:rPr>
          <w:rFonts w:ascii="Times New Roman" w:hAnsi="Times New Roman" w:cs="Times New Roman"/>
        </w:rPr>
        <w:t xml:space="preserve">-timetable </w:t>
      </w:r>
      <w:r w:rsidR="004D051E" w:rsidRPr="00E124FF">
        <w:rPr>
          <w:rFonts w:ascii="Times New Roman" w:hAnsi="Times New Roman" w:cs="Times New Roman"/>
        </w:rPr>
        <w:t xml:space="preserve">overarching </w:t>
      </w:r>
      <w:r w:rsidR="00CC3F31" w:rsidRPr="00E124FF">
        <w:rPr>
          <w:rFonts w:ascii="Times New Roman" w:hAnsi="Times New Roman" w:cs="Times New Roman"/>
        </w:rPr>
        <w:t xml:space="preserve">timescales set by the </w:t>
      </w:r>
      <w:r w:rsidR="00371F51" w:rsidRPr="00E124FF">
        <w:rPr>
          <w:rFonts w:ascii="Times New Roman" w:hAnsi="Times New Roman" w:cs="Times New Roman"/>
        </w:rPr>
        <w:t>court.</w:t>
      </w:r>
      <w:r w:rsidR="00CC3F31" w:rsidRPr="00E124FF">
        <w:rPr>
          <w:rFonts w:ascii="Times New Roman" w:hAnsi="Times New Roman" w:cs="Times New Roman"/>
        </w:rPr>
        <w:t xml:space="preserve"> </w:t>
      </w:r>
    </w:p>
    <w:p w14:paraId="66BB3582" w14:textId="38420E6B" w:rsidR="00041E7F" w:rsidRPr="002E3363" w:rsidRDefault="00041E7F" w:rsidP="002E3363">
      <w:pPr>
        <w:jc w:val="both"/>
        <w:rPr>
          <w:rFonts w:ascii="Times New Roman" w:hAnsi="Times New Roman" w:cs="Times New Roman"/>
        </w:rPr>
      </w:pPr>
      <w:r w:rsidRPr="002E3363">
        <w:rPr>
          <w:rFonts w:ascii="Times New Roman" w:hAnsi="Times New Roman" w:cs="Times New Roman"/>
          <w:b/>
          <w:bCs/>
          <w:i/>
          <w:iCs/>
        </w:rPr>
        <w:t>FPL</w:t>
      </w:r>
    </w:p>
    <w:p w14:paraId="372F8C3D" w14:textId="61610CA1" w:rsidR="007503C1" w:rsidRPr="00D63873" w:rsidRDefault="007503C1" w:rsidP="007503C1">
      <w:pPr>
        <w:pStyle w:val="ListParagraph"/>
        <w:numPr>
          <w:ilvl w:val="0"/>
          <w:numId w:val="13"/>
        </w:numPr>
        <w:jc w:val="both"/>
        <w:rPr>
          <w:rFonts w:ascii="Times New Roman" w:hAnsi="Times New Roman" w:cs="Times New Roman"/>
          <w:strike/>
        </w:rPr>
      </w:pPr>
      <w:r w:rsidRPr="007503C1">
        <w:rPr>
          <w:rFonts w:ascii="Times New Roman" w:hAnsi="Times New Roman" w:cs="Times New Roman"/>
        </w:rPr>
        <w:t xml:space="preserve">FPL must be used by all parties as the means of communicating with the court.  The practice, save in emergency situations, of emailing a judge / the court must stop as it </w:t>
      </w:r>
      <w:r w:rsidR="002E3363">
        <w:rPr>
          <w:rFonts w:ascii="Times New Roman" w:hAnsi="Times New Roman" w:cs="Times New Roman"/>
        </w:rPr>
        <w:t xml:space="preserve">unnecessarily </w:t>
      </w:r>
      <w:r w:rsidRPr="007503C1">
        <w:rPr>
          <w:rFonts w:ascii="Times New Roman" w:hAnsi="Times New Roman" w:cs="Times New Roman"/>
        </w:rPr>
        <w:t>increases email traffic.</w:t>
      </w:r>
    </w:p>
    <w:p w14:paraId="2AC62369" w14:textId="77777777" w:rsidR="00D63873" w:rsidRDefault="00D63873" w:rsidP="00D63873">
      <w:pPr>
        <w:pStyle w:val="ListParagraph"/>
        <w:ind w:left="1080"/>
        <w:jc w:val="both"/>
        <w:rPr>
          <w:rFonts w:ascii="Times New Roman" w:hAnsi="Times New Roman" w:cs="Times New Roman"/>
          <w:strike/>
        </w:rPr>
      </w:pPr>
    </w:p>
    <w:p w14:paraId="5E365AE0" w14:textId="77777777" w:rsidR="00D63873" w:rsidRPr="007503C1" w:rsidRDefault="00D63873" w:rsidP="00D63873">
      <w:pPr>
        <w:pStyle w:val="ListParagraph"/>
        <w:ind w:left="1080"/>
        <w:jc w:val="both"/>
        <w:rPr>
          <w:rFonts w:ascii="Times New Roman" w:hAnsi="Times New Roman" w:cs="Times New Roman"/>
          <w:strike/>
        </w:rPr>
      </w:pPr>
    </w:p>
    <w:p w14:paraId="66C84CF7" w14:textId="69FBE215" w:rsidR="002766AE" w:rsidRPr="001A0C26" w:rsidRDefault="001A0C26" w:rsidP="001A0C26">
      <w:pPr>
        <w:pStyle w:val="ListParagraph"/>
        <w:spacing w:after="0"/>
        <w:ind w:left="2160"/>
        <w:jc w:val="right"/>
        <w:rPr>
          <w:rFonts w:ascii="Times New Roman" w:hAnsi="Times New Roman" w:cs="Times New Roman"/>
          <w:b/>
          <w:bCs/>
        </w:rPr>
      </w:pPr>
      <w:r>
        <w:rPr>
          <w:rFonts w:ascii="Times New Roman" w:hAnsi="Times New Roman" w:cs="Times New Roman"/>
          <w:b/>
          <w:bCs/>
        </w:rPr>
        <w:t>M</w:t>
      </w:r>
      <w:r w:rsidR="002766AE" w:rsidRPr="002766AE">
        <w:rPr>
          <w:rFonts w:ascii="Times New Roman" w:hAnsi="Times New Roman" w:cs="Times New Roman"/>
          <w:b/>
          <w:bCs/>
        </w:rPr>
        <w:t>s Justice Henke</w:t>
      </w:r>
      <w:r>
        <w:rPr>
          <w:rFonts w:ascii="Times New Roman" w:hAnsi="Times New Roman" w:cs="Times New Roman"/>
          <w:b/>
          <w:bCs/>
        </w:rPr>
        <w:t xml:space="preserve"> </w:t>
      </w:r>
      <w:r w:rsidR="002766AE" w:rsidRPr="002766AE">
        <w:rPr>
          <w:rFonts w:ascii="Times New Roman" w:hAnsi="Times New Roman" w:cs="Times New Roman"/>
          <w:b/>
          <w:bCs/>
        </w:rPr>
        <w:t>(F</w:t>
      </w:r>
      <w:r>
        <w:rPr>
          <w:rFonts w:ascii="Times New Roman" w:hAnsi="Times New Roman" w:cs="Times New Roman"/>
          <w:b/>
          <w:bCs/>
        </w:rPr>
        <w:t xml:space="preserve">PJ for the </w:t>
      </w:r>
      <w:r w:rsidR="002766AE" w:rsidRPr="002766AE">
        <w:rPr>
          <w:rFonts w:ascii="Times New Roman" w:hAnsi="Times New Roman" w:cs="Times New Roman"/>
          <w:b/>
          <w:bCs/>
        </w:rPr>
        <w:t>S</w:t>
      </w:r>
      <w:r>
        <w:rPr>
          <w:rFonts w:ascii="Times New Roman" w:hAnsi="Times New Roman" w:cs="Times New Roman"/>
          <w:b/>
          <w:bCs/>
        </w:rPr>
        <w:t xml:space="preserve">outh </w:t>
      </w:r>
      <w:r w:rsidR="002766AE" w:rsidRPr="002766AE">
        <w:rPr>
          <w:rFonts w:ascii="Times New Roman" w:hAnsi="Times New Roman" w:cs="Times New Roman"/>
          <w:b/>
          <w:bCs/>
        </w:rPr>
        <w:t>E</w:t>
      </w:r>
      <w:r>
        <w:rPr>
          <w:rFonts w:ascii="Times New Roman" w:hAnsi="Times New Roman" w:cs="Times New Roman"/>
          <w:b/>
          <w:bCs/>
        </w:rPr>
        <w:t xml:space="preserve">ast </w:t>
      </w:r>
      <w:r w:rsidRPr="001A0C26">
        <w:rPr>
          <w:rFonts w:ascii="Times New Roman" w:hAnsi="Times New Roman" w:cs="Times New Roman"/>
          <w:b/>
          <w:bCs/>
        </w:rPr>
        <w:t>C</w:t>
      </w:r>
      <w:r>
        <w:rPr>
          <w:rFonts w:ascii="Times New Roman" w:hAnsi="Times New Roman" w:cs="Times New Roman"/>
          <w:b/>
          <w:bCs/>
        </w:rPr>
        <w:t xml:space="preserve">ircuit </w:t>
      </w:r>
      <w:r w:rsidRPr="001A0C26">
        <w:rPr>
          <w:rFonts w:ascii="Times New Roman" w:hAnsi="Times New Roman" w:cs="Times New Roman"/>
          <w:b/>
          <w:bCs/>
        </w:rPr>
        <w:t>(S</w:t>
      </w:r>
      <w:r>
        <w:rPr>
          <w:rFonts w:ascii="Times New Roman" w:hAnsi="Times New Roman" w:cs="Times New Roman"/>
          <w:b/>
          <w:bCs/>
        </w:rPr>
        <w:t>outh</w:t>
      </w:r>
      <w:r w:rsidRPr="001A0C26">
        <w:rPr>
          <w:rFonts w:ascii="Times New Roman" w:hAnsi="Times New Roman" w:cs="Times New Roman"/>
          <w:b/>
          <w:bCs/>
        </w:rPr>
        <w:t>)</w:t>
      </w:r>
      <w:r w:rsidR="002766AE" w:rsidRPr="001A0C26">
        <w:rPr>
          <w:rFonts w:ascii="Times New Roman" w:hAnsi="Times New Roman" w:cs="Times New Roman"/>
          <w:b/>
          <w:bCs/>
        </w:rPr>
        <w:t>)</w:t>
      </w:r>
    </w:p>
    <w:p w14:paraId="03506E6B" w14:textId="255D2F11" w:rsidR="00041E7F" w:rsidRDefault="002766AE" w:rsidP="001A0C26">
      <w:pPr>
        <w:pStyle w:val="ListParagraph"/>
        <w:spacing w:after="0"/>
        <w:ind w:left="2160"/>
        <w:jc w:val="right"/>
        <w:rPr>
          <w:rFonts w:ascii="Times New Roman" w:hAnsi="Times New Roman" w:cs="Times New Roman"/>
          <w:b/>
          <w:bCs/>
        </w:rPr>
      </w:pPr>
      <w:r w:rsidRPr="002766AE">
        <w:rPr>
          <w:rFonts w:ascii="Times New Roman" w:hAnsi="Times New Roman" w:cs="Times New Roman"/>
          <w:b/>
          <w:bCs/>
        </w:rPr>
        <w:t>HHJ Perusko</w:t>
      </w:r>
      <w:r w:rsidRPr="002766AE">
        <w:rPr>
          <w:rFonts w:ascii="Times New Roman" w:hAnsi="Times New Roman" w:cs="Times New Roman"/>
          <w:b/>
          <w:bCs/>
        </w:rPr>
        <w:tab/>
        <w:t>(DFJ</w:t>
      </w:r>
      <w:r w:rsidR="00915116">
        <w:rPr>
          <w:rFonts w:ascii="Times New Roman" w:hAnsi="Times New Roman" w:cs="Times New Roman"/>
          <w:b/>
          <w:bCs/>
        </w:rPr>
        <w:t xml:space="preserve"> </w:t>
      </w:r>
      <w:r w:rsidR="001A0C26">
        <w:rPr>
          <w:rFonts w:ascii="Times New Roman" w:hAnsi="Times New Roman" w:cs="Times New Roman"/>
          <w:b/>
          <w:bCs/>
        </w:rPr>
        <w:t xml:space="preserve">for </w:t>
      </w:r>
      <w:r w:rsidR="00915116">
        <w:rPr>
          <w:rFonts w:ascii="Times New Roman" w:hAnsi="Times New Roman" w:cs="Times New Roman"/>
          <w:b/>
          <w:bCs/>
        </w:rPr>
        <w:t>Milton Keynes &amp;</w:t>
      </w:r>
      <w:r w:rsidRPr="002766AE">
        <w:rPr>
          <w:rFonts w:ascii="Times New Roman" w:hAnsi="Times New Roman" w:cs="Times New Roman"/>
          <w:b/>
          <w:bCs/>
        </w:rPr>
        <w:t xml:space="preserve"> Buckinghamshire)</w:t>
      </w:r>
    </w:p>
    <w:p w14:paraId="7B750144" w14:textId="70D567DD" w:rsidR="002766AE" w:rsidRDefault="002766AE" w:rsidP="001A0C26">
      <w:pPr>
        <w:pStyle w:val="ListParagraph"/>
        <w:spacing w:after="0"/>
        <w:ind w:left="2160"/>
        <w:jc w:val="right"/>
        <w:rPr>
          <w:rFonts w:ascii="Times New Roman" w:hAnsi="Times New Roman" w:cs="Times New Roman"/>
          <w:b/>
          <w:bCs/>
        </w:rPr>
      </w:pPr>
      <w:r w:rsidRPr="002766AE">
        <w:rPr>
          <w:rFonts w:ascii="Times New Roman" w:hAnsi="Times New Roman" w:cs="Times New Roman"/>
          <w:b/>
          <w:bCs/>
        </w:rPr>
        <w:t>HHJ Vincent</w:t>
      </w:r>
      <w:r w:rsidRPr="002766AE">
        <w:rPr>
          <w:rFonts w:ascii="Times New Roman" w:hAnsi="Times New Roman" w:cs="Times New Roman"/>
          <w:b/>
          <w:bCs/>
        </w:rPr>
        <w:tab/>
        <w:t xml:space="preserve">(DFJ </w:t>
      </w:r>
      <w:r w:rsidR="001A0C26">
        <w:rPr>
          <w:rFonts w:ascii="Times New Roman" w:hAnsi="Times New Roman" w:cs="Times New Roman"/>
          <w:b/>
          <w:bCs/>
        </w:rPr>
        <w:t xml:space="preserve">for </w:t>
      </w:r>
      <w:r w:rsidRPr="002766AE">
        <w:rPr>
          <w:rFonts w:ascii="Times New Roman" w:hAnsi="Times New Roman" w:cs="Times New Roman"/>
          <w:b/>
          <w:bCs/>
        </w:rPr>
        <w:t>Thames Valley)</w:t>
      </w:r>
    </w:p>
    <w:p w14:paraId="365E2D3A" w14:textId="1F06982C" w:rsidR="002766AE" w:rsidRDefault="002766AE" w:rsidP="001A0C26">
      <w:pPr>
        <w:pStyle w:val="ListParagraph"/>
        <w:spacing w:after="0"/>
        <w:ind w:left="2160"/>
        <w:jc w:val="right"/>
        <w:rPr>
          <w:rFonts w:ascii="Times New Roman" w:hAnsi="Times New Roman" w:cs="Times New Roman"/>
          <w:b/>
          <w:bCs/>
        </w:rPr>
      </w:pPr>
      <w:r w:rsidRPr="002766AE">
        <w:rPr>
          <w:rFonts w:ascii="Times New Roman" w:hAnsi="Times New Roman" w:cs="Times New Roman"/>
          <w:b/>
          <w:bCs/>
        </w:rPr>
        <w:t>HHJ Davies</w:t>
      </w:r>
      <w:r w:rsidR="001A0C26">
        <w:rPr>
          <w:rFonts w:ascii="Times New Roman" w:hAnsi="Times New Roman" w:cs="Times New Roman"/>
          <w:b/>
          <w:bCs/>
        </w:rPr>
        <w:t xml:space="preserve"> </w:t>
      </w:r>
      <w:r w:rsidRPr="002766AE">
        <w:rPr>
          <w:rFonts w:ascii="Times New Roman" w:hAnsi="Times New Roman" w:cs="Times New Roman"/>
          <w:b/>
          <w:bCs/>
        </w:rPr>
        <w:t xml:space="preserve">(DFJ </w:t>
      </w:r>
      <w:r w:rsidR="001A0C26">
        <w:rPr>
          <w:rFonts w:ascii="Times New Roman" w:hAnsi="Times New Roman" w:cs="Times New Roman"/>
          <w:b/>
          <w:bCs/>
        </w:rPr>
        <w:t xml:space="preserve">for </w:t>
      </w:r>
      <w:r w:rsidRPr="002766AE">
        <w:rPr>
          <w:rFonts w:ascii="Times New Roman" w:hAnsi="Times New Roman" w:cs="Times New Roman"/>
          <w:b/>
          <w:bCs/>
        </w:rPr>
        <w:t>Kent)</w:t>
      </w:r>
    </w:p>
    <w:p w14:paraId="0D6C1938" w14:textId="43FCCEE1" w:rsidR="002766AE" w:rsidRPr="002766AE" w:rsidRDefault="002766AE" w:rsidP="001A0C26">
      <w:pPr>
        <w:pStyle w:val="ListParagraph"/>
        <w:spacing w:after="0"/>
        <w:ind w:left="2160"/>
        <w:jc w:val="right"/>
        <w:rPr>
          <w:rFonts w:ascii="Times New Roman" w:hAnsi="Times New Roman" w:cs="Times New Roman"/>
          <w:b/>
          <w:bCs/>
        </w:rPr>
      </w:pPr>
      <w:r w:rsidRPr="002766AE">
        <w:rPr>
          <w:rFonts w:ascii="Times New Roman" w:hAnsi="Times New Roman" w:cs="Times New Roman"/>
          <w:b/>
          <w:bCs/>
        </w:rPr>
        <w:t>HHJ Bedford</w:t>
      </w:r>
      <w:r w:rsidRPr="002766AE">
        <w:rPr>
          <w:rFonts w:ascii="Times New Roman" w:hAnsi="Times New Roman" w:cs="Times New Roman"/>
          <w:b/>
          <w:bCs/>
        </w:rPr>
        <w:tab/>
        <w:t xml:space="preserve">(DFJ </w:t>
      </w:r>
      <w:r w:rsidR="001A0C26">
        <w:rPr>
          <w:rFonts w:ascii="Times New Roman" w:hAnsi="Times New Roman" w:cs="Times New Roman"/>
          <w:b/>
          <w:bCs/>
        </w:rPr>
        <w:t xml:space="preserve">for </w:t>
      </w:r>
      <w:r w:rsidRPr="002766AE">
        <w:rPr>
          <w:rFonts w:ascii="Times New Roman" w:hAnsi="Times New Roman" w:cs="Times New Roman"/>
          <w:b/>
          <w:bCs/>
        </w:rPr>
        <w:t>Surrey</w:t>
      </w:r>
      <w:r w:rsidR="00915116">
        <w:rPr>
          <w:rFonts w:ascii="Times New Roman" w:hAnsi="Times New Roman" w:cs="Times New Roman"/>
          <w:b/>
          <w:bCs/>
        </w:rPr>
        <w:t xml:space="preserve"> &amp; </w:t>
      </w:r>
      <w:r w:rsidRPr="002766AE">
        <w:rPr>
          <w:rFonts w:ascii="Times New Roman" w:hAnsi="Times New Roman" w:cs="Times New Roman"/>
          <w:b/>
          <w:bCs/>
        </w:rPr>
        <w:t>Sussex)</w:t>
      </w:r>
    </w:p>
    <w:p w14:paraId="76AAB198" w14:textId="77777777" w:rsidR="002766AE" w:rsidRPr="002766AE" w:rsidRDefault="002766AE" w:rsidP="002766AE">
      <w:pPr>
        <w:pStyle w:val="ListParagraph"/>
        <w:ind w:left="2160"/>
        <w:jc w:val="both"/>
        <w:rPr>
          <w:rFonts w:ascii="Times New Roman" w:hAnsi="Times New Roman" w:cs="Times New Roman"/>
          <w:b/>
          <w:bCs/>
        </w:rPr>
      </w:pPr>
    </w:p>
    <w:sectPr w:rsidR="002766AE" w:rsidRPr="002766A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729C" w14:textId="77777777" w:rsidR="008D0CAC" w:rsidRDefault="008D0CAC" w:rsidP="00D436A3">
      <w:pPr>
        <w:spacing w:after="0" w:line="240" w:lineRule="auto"/>
      </w:pPr>
      <w:r>
        <w:separator/>
      </w:r>
    </w:p>
  </w:endnote>
  <w:endnote w:type="continuationSeparator" w:id="0">
    <w:p w14:paraId="2C299B8D" w14:textId="77777777" w:rsidR="008D0CAC" w:rsidRDefault="008D0CAC" w:rsidP="00D436A3">
      <w:pPr>
        <w:spacing w:after="0" w:line="240" w:lineRule="auto"/>
      </w:pPr>
      <w:r>
        <w:continuationSeparator/>
      </w:r>
    </w:p>
  </w:endnote>
  <w:endnote w:id="1">
    <w:p w14:paraId="63719D4B" w14:textId="77777777" w:rsidR="00F35942" w:rsidRDefault="00F35942" w:rsidP="001A0C26">
      <w:pPr>
        <w:pStyle w:val="EndnoteText"/>
        <w:rPr>
          <w:rFonts w:ascii="Times New Roman" w:hAnsi="Times New Roman" w:cs="Times New Roman"/>
          <w:sz w:val="24"/>
          <w:szCs w:val="24"/>
        </w:rPr>
      </w:pPr>
      <w:r w:rsidRPr="00E124FF">
        <w:rPr>
          <w:rStyle w:val="EndnoteReference"/>
          <w:rFonts w:ascii="Times New Roman" w:hAnsi="Times New Roman" w:cs="Times New Roman"/>
          <w:sz w:val="24"/>
          <w:szCs w:val="24"/>
        </w:rPr>
        <w:endnoteRef/>
      </w:r>
      <w:r w:rsidRPr="00E124FF">
        <w:rPr>
          <w:rFonts w:ascii="Times New Roman" w:hAnsi="Times New Roman" w:cs="Times New Roman"/>
          <w:sz w:val="24"/>
          <w:szCs w:val="24"/>
        </w:rPr>
        <w:t xml:space="preserve"> </w:t>
      </w:r>
      <w:r w:rsidRPr="00E124FF">
        <w:rPr>
          <w:rFonts w:ascii="Times New Roman" w:hAnsi="Times New Roman" w:cs="Times New Roman"/>
          <w:b/>
          <w:bCs/>
          <w:sz w:val="24"/>
          <w:szCs w:val="24"/>
        </w:rPr>
        <w:t xml:space="preserve"> TEN PRINCIPLES </w:t>
      </w:r>
      <w:r w:rsidRPr="00E124FF">
        <w:rPr>
          <w:rFonts w:ascii="Times New Roman" w:hAnsi="Times New Roman" w:cs="Times New Roman"/>
          <w:sz w:val="24"/>
          <w:szCs w:val="24"/>
        </w:rPr>
        <w:t xml:space="preserve"> </w:t>
      </w:r>
    </w:p>
    <w:p w14:paraId="6EA83A20" w14:textId="77777777" w:rsidR="001A0C26" w:rsidRPr="00E124FF" w:rsidRDefault="001A0C26" w:rsidP="001A0C26">
      <w:pPr>
        <w:pStyle w:val="EndnoteText"/>
        <w:rPr>
          <w:rFonts w:ascii="Times New Roman" w:hAnsi="Times New Roman" w:cs="Times New Roman"/>
          <w:sz w:val="24"/>
          <w:szCs w:val="24"/>
        </w:rPr>
      </w:pPr>
    </w:p>
    <w:p w14:paraId="18AC3D03" w14:textId="77777777"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rPr>
        <w:t xml:space="preserve">Pre-proceedings assessments </w:t>
      </w:r>
      <w:r w:rsidRPr="00E124FF">
        <w:rPr>
          <w:rFonts w:ascii="Times New Roman" w:hAnsi="Times New Roman" w:cs="Times New Roman"/>
          <w:sz w:val="24"/>
          <w:szCs w:val="24"/>
          <w:u w:val="single"/>
        </w:rPr>
        <w:t>must remain valid and should not be repeated during care proceedings unless there are compelling and justified reasons to do so</w:t>
      </w:r>
      <w:r w:rsidRPr="00E124FF">
        <w:rPr>
          <w:rFonts w:ascii="Times New Roman" w:hAnsi="Times New Roman" w:cs="Times New Roman"/>
          <w:sz w:val="24"/>
          <w:szCs w:val="24"/>
        </w:rPr>
        <w:t>.  It is a key means by which proceedings can conclude quickly.</w:t>
      </w:r>
    </w:p>
    <w:p w14:paraId="22AD4BBF" w14:textId="77777777" w:rsidR="00F35942" w:rsidRPr="00E124FF" w:rsidRDefault="00F35942" w:rsidP="00E124FF">
      <w:pPr>
        <w:pStyle w:val="EndnoteText"/>
        <w:rPr>
          <w:rFonts w:ascii="Times New Roman" w:hAnsi="Times New Roman" w:cs="Times New Roman"/>
          <w:sz w:val="24"/>
          <w:szCs w:val="24"/>
        </w:rPr>
      </w:pPr>
    </w:p>
    <w:p w14:paraId="6D3FA5F1" w14:textId="77777777"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rPr>
        <w:t xml:space="preserve">Following Pre-PLO support and assessments, the court will </w:t>
      </w:r>
      <w:r w:rsidRPr="00E124FF">
        <w:rPr>
          <w:rFonts w:ascii="Times New Roman" w:hAnsi="Times New Roman" w:cs="Times New Roman"/>
          <w:sz w:val="24"/>
          <w:szCs w:val="24"/>
          <w:u w:val="single"/>
        </w:rPr>
        <w:t>expect the Local Authority to be prepared to file and serve their final evidence promptly</w:t>
      </w:r>
      <w:r w:rsidRPr="00E124FF">
        <w:rPr>
          <w:rFonts w:ascii="Times New Roman" w:hAnsi="Times New Roman" w:cs="Times New Roman"/>
          <w:sz w:val="24"/>
          <w:szCs w:val="24"/>
        </w:rPr>
        <w:t xml:space="preserve">, typically within two weeks. Additional assessments often delay welfare decisions for the child, so any further assessment must be necessary rather than merely beneficial. </w:t>
      </w:r>
    </w:p>
    <w:p w14:paraId="3DCDFA4C" w14:textId="77777777" w:rsidR="00F35942" w:rsidRPr="00E124FF" w:rsidRDefault="00F35942" w:rsidP="00E124FF">
      <w:pPr>
        <w:pStyle w:val="EndnoteText"/>
        <w:rPr>
          <w:rFonts w:ascii="Times New Roman" w:hAnsi="Times New Roman" w:cs="Times New Roman"/>
          <w:sz w:val="24"/>
          <w:szCs w:val="24"/>
        </w:rPr>
      </w:pPr>
    </w:p>
    <w:p w14:paraId="2208173E" w14:textId="77777777"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rPr>
        <w:t xml:space="preserve">It is </w:t>
      </w:r>
      <w:r w:rsidRPr="00E124FF">
        <w:rPr>
          <w:rFonts w:ascii="Times New Roman" w:hAnsi="Times New Roman" w:cs="Times New Roman"/>
          <w:sz w:val="24"/>
          <w:szCs w:val="24"/>
          <w:u w:val="single"/>
        </w:rPr>
        <w:t>crucial that parents are asked to identify realistic kinship or alternative carers for the child during the Pre-PLO phase</w:t>
      </w:r>
      <w:r w:rsidRPr="00E124FF">
        <w:rPr>
          <w:rFonts w:ascii="Times New Roman" w:hAnsi="Times New Roman" w:cs="Times New Roman"/>
          <w:sz w:val="24"/>
          <w:szCs w:val="24"/>
        </w:rPr>
        <w:t xml:space="preserve">. This process should also be undertaken or revisited at the Case Management Hearing (CMH). Family conferences play an important role in identifying kinship or alternative carers and should be encouraged both before proceedings and during them. </w:t>
      </w:r>
      <w:r w:rsidRPr="00E124FF">
        <w:rPr>
          <w:rFonts w:ascii="Times New Roman" w:hAnsi="Times New Roman" w:cs="Times New Roman"/>
          <w:sz w:val="24"/>
          <w:szCs w:val="24"/>
          <w:u w:val="single"/>
        </w:rPr>
        <w:t>Parents should be reassured that early identification of kinship or alternative carers does not weaken their case to care for the child.</w:t>
      </w:r>
      <w:r w:rsidRPr="00E124FF">
        <w:rPr>
          <w:rFonts w:ascii="Times New Roman" w:hAnsi="Times New Roman" w:cs="Times New Roman"/>
          <w:sz w:val="24"/>
          <w:szCs w:val="24"/>
        </w:rPr>
        <w:t xml:space="preserve"> However, late identification risks the carers not being assessed or considered within the child's required timeframe. </w:t>
      </w:r>
    </w:p>
    <w:p w14:paraId="2B707300" w14:textId="77777777" w:rsidR="00F35942" w:rsidRPr="00E124FF" w:rsidRDefault="00F35942" w:rsidP="00E124FF">
      <w:pPr>
        <w:pStyle w:val="EndnoteText"/>
        <w:rPr>
          <w:rFonts w:ascii="Times New Roman" w:hAnsi="Times New Roman" w:cs="Times New Roman"/>
          <w:sz w:val="24"/>
          <w:szCs w:val="24"/>
        </w:rPr>
      </w:pPr>
    </w:p>
    <w:p w14:paraId="13F899CC" w14:textId="77777777"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u w:val="single"/>
        </w:rPr>
        <w:t>Urgent or short-notice applications prior to the CMH (such as Interim Care Orders for removal) should only be made in genuinely urgent situations</w:t>
      </w:r>
      <w:r w:rsidRPr="00E124FF">
        <w:rPr>
          <w:rFonts w:ascii="Times New Roman" w:hAnsi="Times New Roman" w:cs="Times New Roman"/>
          <w:sz w:val="24"/>
          <w:szCs w:val="24"/>
        </w:rPr>
        <w:t xml:space="preserve"> and must be supported by strong reasons for urgency. It is the court’s responsibility to determine the urgency and whether the matter should be heard before the CMH. Urgent hearings must not delay the CMH. Applications made during business hours requesting a same-day hearing, or those made out of hours, will only be considered urgent if an order is needed to regulate the situation between its making and the next ordinary listing. Cases that do not meet urgency criteria will be declined and scheduled through the ordinary listing process. The court will strictly refuse to hear cases that fail to meet urgency standards. Applicants must justify urgency with evidence, including a statement explaining the urgency and a draft order conforming to the President’s standard format. </w:t>
      </w:r>
    </w:p>
    <w:p w14:paraId="4330F5EF" w14:textId="77777777" w:rsidR="00F35942" w:rsidRPr="00E124FF" w:rsidRDefault="00F35942" w:rsidP="00E124FF">
      <w:pPr>
        <w:pStyle w:val="EndnoteText"/>
        <w:rPr>
          <w:rFonts w:ascii="Times New Roman" w:hAnsi="Times New Roman" w:cs="Times New Roman"/>
          <w:sz w:val="24"/>
          <w:szCs w:val="24"/>
        </w:rPr>
      </w:pPr>
    </w:p>
    <w:p w14:paraId="4857AEF6" w14:textId="77777777"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rPr>
        <w:t xml:space="preserve">Every hearing must be conducted effectively with </w:t>
      </w:r>
      <w:r w:rsidRPr="00E124FF">
        <w:rPr>
          <w:rFonts w:ascii="Times New Roman" w:hAnsi="Times New Roman" w:cs="Times New Roman"/>
          <w:sz w:val="24"/>
          <w:szCs w:val="24"/>
          <w:u w:val="single"/>
        </w:rPr>
        <w:t>robust case management</w:t>
      </w:r>
      <w:r w:rsidRPr="00E124FF">
        <w:rPr>
          <w:rFonts w:ascii="Times New Roman" w:hAnsi="Times New Roman" w:cs="Times New Roman"/>
          <w:sz w:val="24"/>
          <w:szCs w:val="24"/>
        </w:rPr>
        <w:t xml:space="preserve">. The overriding objective of the Family Procedure Rules (FPR) r 1.1 is to enable the court to deal with cases justly while considering welfare issues. Justice includes ensuring </w:t>
      </w:r>
      <w:r w:rsidRPr="00E124FF">
        <w:rPr>
          <w:rFonts w:ascii="Times New Roman" w:hAnsi="Times New Roman" w:cs="Times New Roman"/>
          <w:sz w:val="24"/>
          <w:szCs w:val="24"/>
          <w:u w:val="single"/>
        </w:rPr>
        <w:t>cases are handled expeditiously and fairly, proportionate to their nature and complexity, with parties equally positioned, minimizing costs, and appropriately allocating court resources</w:t>
      </w:r>
      <w:r w:rsidRPr="00E124FF">
        <w:rPr>
          <w:rFonts w:ascii="Times New Roman" w:hAnsi="Times New Roman" w:cs="Times New Roman"/>
          <w:sz w:val="24"/>
          <w:szCs w:val="24"/>
        </w:rPr>
        <w:t xml:space="preserve"> (FPR r 1.1(2)). The court must advance this objective through active case management, encompassing all factors detailed in FPR r 1.4(2)(a)-(m). </w:t>
      </w:r>
    </w:p>
    <w:p w14:paraId="66DFE4BD" w14:textId="77777777" w:rsidR="00F35942" w:rsidRPr="00E124FF" w:rsidRDefault="00F35942" w:rsidP="00E124FF">
      <w:pPr>
        <w:pStyle w:val="EndnoteText"/>
        <w:rPr>
          <w:rFonts w:ascii="Times New Roman" w:hAnsi="Times New Roman" w:cs="Times New Roman"/>
          <w:sz w:val="24"/>
          <w:szCs w:val="24"/>
        </w:rPr>
      </w:pPr>
    </w:p>
    <w:p w14:paraId="36570A8A" w14:textId="77777777"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u w:val="single"/>
        </w:rPr>
        <w:t>‘Nothing else will do’ is NOT a legal principle and is NOT a substitute for undertaking a comprehensive and holistic assessment of the future welfare best interests of a child and the placement which best meets these needs within the child’s timeframe</w:t>
      </w:r>
      <w:r w:rsidRPr="00E124FF">
        <w:rPr>
          <w:rFonts w:ascii="Times New Roman" w:hAnsi="Times New Roman" w:cs="Times New Roman"/>
          <w:sz w:val="24"/>
          <w:szCs w:val="24"/>
        </w:rPr>
        <w:t xml:space="preserve">.   </w:t>
      </w:r>
    </w:p>
    <w:p w14:paraId="443C2ED8" w14:textId="77777777" w:rsidR="00F35942" w:rsidRPr="00E124FF" w:rsidRDefault="00F35942" w:rsidP="00E124FF">
      <w:pPr>
        <w:pStyle w:val="EndnoteText"/>
        <w:rPr>
          <w:rFonts w:ascii="Times New Roman" w:hAnsi="Times New Roman" w:cs="Times New Roman"/>
          <w:sz w:val="24"/>
          <w:szCs w:val="24"/>
        </w:rPr>
      </w:pPr>
    </w:p>
    <w:p w14:paraId="53DDDEB9" w14:textId="2A54E26C"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rPr>
        <w:t xml:space="preserve">Part 25 applications MUST be filed and served in advance of the CMH. The </w:t>
      </w:r>
      <w:r w:rsidRPr="00E124FF">
        <w:rPr>
          <w:rFonts w:ascii="Times New Roman" w:hAnsi="Times New Roman" w:cs="Times New Roman"/>
          <w:sz w:val="24"/>
          <w:szCs w:val="24"/>
          <w:u w:val="single"/>
        </w:rPr>
        <w:t>court MUST stringently apply the test of necessity for the appointment of an expert.</w:t>
      </w:r>
      <w:r w:rsidRPr="00E124FF">
        <w:rPr>
          <w:rFonts w:ascii="Times New Roman" w:hAnsi="Times New Roman" w:cs="Times New Roman"/>
          <w:sz w:val="24"/>
          <w:szCs w:val="24"/>
        </w:rPr>
        <w:t xml:space="preserve"> After a reduction in the number of experts being instructed, the numbers are increasing • A party must give compelling reasons why an application for an expert (if necessary) cannot be made at the CMH</w:t>
      </w:r>
      <w:r w:rsidR="0096025E">
        <w:rPr>
          <w:rFonts w:ascii="Times New Roman" w:hAnsi="Times New Roman" w:cs="Times New Roman"/>
          <w:sz w:val="24"/>
          <w:szCs w:val="24"/>
        </w:rPr>
        <w:t>.</w:t>
      </w:r>
      <w:r w:rsidRPr="00E124FF">
        <w:rPr>
          <w:rFonts w:ascii="Times New Roman" w:hAnsi="Times New Roman" w:cs="Times New Roman"/>
          <w:sz w:val="24"/>
          <w:szCs w:val="24"/>
        </w:rPr>
        <w:t xml:space="preserve"> The guidance on the limitations on the instruction of and use of intermediaries must be followed assiduously.</w:t>
      </w:r>
    </w:p>
    <w:p w14:paraId="01B63946" w14:textId="77777777" w:rsidR="00F35942" w:rsidRPr="00E124FF" w:rsidRDefault="00F35942" w:rsidP="00E124FF">
      <w:pPr>
        <w:pStyle w:val="EndnoteText"/>
        <w:rPr>
          <w:rFonts w:ascii="Times New Roman" w:hAnsi="Times New Roman" w:cs="Times New Roman"/>
          <w:sz w:val="24"/>
          <w:szCs w:val="24"/>
        </w:rPr>
      </w:pPr>
    </w:p>
    <w:p w14:paraId="46BFF2A5" w14:textId="02015264"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u w:val="single"/>
        </w:rPr>
        <w:t>ROBUST case management of the IRH</w:t>
      </w:r>
      <w:r w:rsidRPr="00E124FF">
        <w:rPr>
          <w:rFonts w:ascii="Times New Roman" w:hAnsi="Times New Roman" w:cs="Times New Roman"/>
          <w:sz w:val="24"/>
          <w:szCs w:val="24"/>
        </w:rPr>
        <w:t xml:space="preserve"> can avoid stress &amp; delay for children &amp; parents. The court should NOT simply accept that the case is said to be contested. Waiting for a contested FH is NOT welfare neutral for the child. The parties should expect the court to give firm judicial indications (with the usual caveats). The ISSUE RESOLUTIONS HEARING is NOT a prelude to a final hearing and it is NOT simply a pre-trial review hearing. For an EFFECTIVE IRH to take place the hearing should be listed for 2 hours. All advocates MUST be fully prepared to enable the case to conclude at the IRH. It should not be assumed that a final hearing will be necessary. It should NOT be assumed that oral evidence is necessary and/or proportionate to resolve contested issues – they may be capable of being resolved at the IRH on the basis of submissions.   </w:t>
      </w:r>
    </w:p>
    <w:p w14:paraId="4CCC70F8" w14:textId="77777777" w:rsidR="00F35942" w:rsidRPr="00E124FF" w:rsidRDefault="00F35942" w:rsidP="00E124FF">
      <w:pPr>
        <w:pStyle w:val="EndnoteText"/>
        <w:rPr>
          <w:rFonts w:ascii="Times New Roman" w:hAnsi="Times New Roman" w:cs="Times New Roman"/>
          <w:sz w:val="24"/>
          <w:szCs w:val="24"/>
        </w:rPr>
      </w:pPr>
    </w:p>
    <w:p w14:paraId="5A16C072" w14:textId="4BF577EE"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u w:val="single"/>
        </w:rPr>
        <w:t>Non-compliance with orders MUST be notified immediately to the court by any party and MUST be remedied</w:t>
      </w:r>
      <w:r w:rsidRPr="00E124FF">
        <w:rPr>
          <w:rFonts w:ascii="Times New Roman" w:hAnsi="Times New Roman" w:cs="Times New Roman"/>
          <w:sz w:val="24"/>
          <w:szCs w:val="24"/>
        </w:rPr>
        <w:t xml:space="preserve"> by the parties submitting a draft consent order to the court which does not adversely affect the timetable for the resolution of welfare decisions. The court may prefer to list the matter for an urgent non-compliance hearing, especially if the court wishes to impose a stricter timetable than the parties have agreed.  </w:t>
      </w:r>
    </w:p>
    <w:p w14:paraId="35E1B3E6" w14:textId="77777777" w:rsidR="00F35942" w:rsidRPr="00E124FF" w:rsidRDefault="00F35942" w:rsidP="00E124FF">
      <w:pPr>
        <w:pStyle w:val="EndnoteText"/>
        <w:rPr>
          <w:rFonts w:ascii="Times New Roman" w:hAnsi="Times New Roman" w:cs="Times New Roman"/>
          <w:sz w:val="24"/>
          <w:szCs w:val="24"/>
        </w:rPr>
      </w:pPr>
    </w:p>
    <w:p w14:paraId="2EBF5A45" w14:textId="56AB8E33" w:rsidR="00F35942" w:rsidRPr="00E124FF" w:rsidRDefault="00F35942" w:rsidP="00E124FF">
      <w:pPr>
        <w:pStyle w:val="EndnoteText"/>
        <w:numPr>
          <w:ilvl w:val="1"/>
          <w:numId w:val="10"/>
        </w:numPr>
        <w:rPr>
          <w:rFonts w:ascii="Times New Roman" w:hAnsi="Times New Roman" w:cs="Times New Roman"/>
          <w:sz w:val="24"/>
          <w:szCs w:val="24"/>
        </w:rPr>
      </w:pPr>
      <w:r w:rsidRPr="00E124FF">
        <w:rPr>
          <w:rFonts w:ascii="Times New Roman" w:hAnsi="Times New Roman" w:cs="Times New Roman"/>
          <w:sz w:val="24"/>
          <w:szCs w:val="24"/>
        </w:rPr>
        <w:t xml:space="preserve">There SHOULD be no more than 2 or 3 hearings per public law proceedings which </w:t>
      </w:r>
      <w:r w:rsidRPr="00E124FF">
        <w:rPr>
          <w:rFonts w:ascii="Times New Roman" w:hAnsi="Times New Roman" w:cs="Times New Roman"/>
          <w:sz w:val="24"/>
          <w:szCs w:val="24"/>
          <w:u w:val="single"/>
        </w:rPr>
        <w:t>MUST conclude (where it can be done justly) within 26 weeks in accordance with the overriding objective.</w:t>
      </w:r>
      <w:r w:rsidRPr="00E124FF">
        <w:rPr>
          <w:rFonts w:ascii="Times New Roman" w:hAnsi="Times New Roman" w:cs="Times New Roman"/>
          <w:sz w:val="24"/>
          <w:szCs w:val="24"/>
        </w:rPr>
        <w:t xml:space="preserve"> Where a care plan provides for rehabilitation of a child to the care of their parent(s) but a prolonged period of treatment, therapy and/or assessment is required, the court should consider making a final care order which the LA or a parent may seek to discharge at the appropriate time.</w:t>
      </w:r>
    </w:p>
    <w:p w14:paraId="7DF6C920" w14:textId="77777777" w:rsidR="00F35942" w:rsidRPr="00E124FF" w:rsidRDefault="00F35942" w:rsidP="00E124FF">
      <w:pPr>
        <w:pStyle w:val="ListParagraph"/>
        <w:spacing w:line="240" w:lineRule="auto"/>
        <w:rPr>
          <w:rFonts w:ascii="Times New Roman" w:hAnsi="Times New Roman" w:cs="Times New Roman"/>
        </w:rPr>
      </w:pPr>
    </w:p>
    <w:p w14:paraId="7F8EDC70" w14:textId="77777777" w:rsidR="00F35942" w:rsidRPr="00E124FF" w:rsidRDefault="00F35942" w:rsidP="00E124FF">
      <w:pPr>
        <w:pStyle w:val="EndnoteText"/>
        <w:ind w:left="1080"/>
        <w:rPr>
          <w:rFonts w:ascii="Times New Roman" w:hAnsi="Times New Roman" w:cs="Times New Roman"/>
          <w:sz w:val="24"/>
          <w:szCs w:val="24"/>
        </w:rPr>
      </w:pPr>
    </w:p>
    <w:p w14:paraId="26ABB2CB" w14:textId="77777777" w:rsidR="00F35942" w:rsidRPr="00E124FF" w:rsidRDefault="00F35942" w:rsidP="00E124FF">
      <w:pPr>
        <w:pStyle w:val="EndnoteText"/>
        <w:ind w:left="1080"/>
        <w:rPr>
          <w:rFonts w:ascii="Times New Roman" w:hAnsi="Times New Roman" w:cs="Times New Roman"/>
          <w:sz w:val="24"/>
          <w:szCs w:val="24"/>
        </w:rPr>
      </w:pPr>
    </w:p>
    <w:p w14:paraId="23F6E433" w14:textId="77777777" w:rsidR="00F35942" w:rsidRPr="00E124FF" w:rsidRDefault="00F35942" w:rsidP="00E124FF">
      <w:pPr>
        <w:pStyle w:val="EndnoteText"/>
        <w:ind w:left="1080"/>
        <w:rPr>
          <w:rFonts w:ascii="Times New Roman" w:hAnsi="Times New Roman" w:cs="Times New Roman"/>
          <w:sz w:val="24"/>
          <w:szCs w:val="24"/>
        </w:rPr>
      </w:pPr>
    </w:p>
    <w:p w14:paraId="519D32D2" w14:textId="77777777" w:rsidR="00F35942" w:rsidRPr="00E124FF" w:rsidRDefault="00F35942" w:rsidP="00E124FF">
      <w:pPr>
        <w:pStyle w:val="EndnoteText"/>
        <w:ind w:left="1080"/>
        <w:rPr>
          <w:rFonts w:ascii="Times New Roman" w:hAnsi="Times New Roman" w:cs="Times New Roman"/>
          <w:sz w:val="24"/>
          <w:szCs w:val="24"/>
        </w:rPr>
      </w:pPr>
    </w:p>
    <w:p w14:paraId="16B38845" w14:textId="77777777" w:rsidR="00F35942" w:rsidRPr="00E124FF" w:rsidRDefault="00F35942" w:rsidP="00E124FF">
      <w:pPr>
        <w:pStyle w:val="EndnoteText"/>
        <w:ind w:left="1080"/>
        <w:rPr>
          <w:rFonts w:ascii="Times New Roman" w:hAnsi="Times New Roman" w:cs="Times New Roman"/>
          <w:sz w:val="24"/>
          <w:szCs w:val="24"/>
        </w:rPr>
      </w:pPr>
    </w:p>
    <w:p w14:paraId="007F7AB7" w14:textId="77777777" w:rsidR="00F35942" w:rsidRPr="00E124FF" w:rsidRDefault="00F35942" w:rsidP="00E124FF">
      <w:pPr>
        <w:pStyle w:val="EndnoteText"/>
        <w:ind w:left="1080"/>
        <w:rPr>
          <w:rFonts w:ascii="Times New Roman" w:hAnsi="Times New Roman" w:cs="Times New Roman"/>
          <w:sz w:val="24"/>
          <w:szCs w:val="24"/>
        </w:rPr>
      </w:pPr>
    </w:p>
    <w:p w14:paraId="35936213" w14:textId="77777777" w:rsidR="00F35942" w:rsidRPr="00E124FF" w:rsidRDefault="00F35942" w:rsidP="00E124FF">
      <w:pPr>
        <w:pStyle w:val="EndnoteText"/>
        <w:ind w:left="1080"/>
        <w:rPr>
          <w:rFonts w:ascii="Times New Roman" w:hAnsi="Times New Roman" w:cs="Times New Roman"/>
          <w:sz w:val="24"/>
          <w:szCs w:val="24"/>
        </w:rPr>
      </w:pPr>
    </w:p>
    <w:p w14:paraId="72263117" w14:textId="77777777" w:rsidR="00F35942" w:rsidRPr="00E124FF" w:rsidRDefault="00F35942" w:rsidP="00E124FF">
      <w:pPr>
        <w:pStyle w:val="EndnoteText"/>
        <w:ind w:left="1080"/>
        <w:rPr>
          <w:rFonts w:ascii="Times New Roman" w:hAnsi="Times New Roman" w:cs="Times New Roman"/>
          <w:sz w:val="24"/>
          <w:szCs w:val="24"/>
        </w:rPr>
      </w:pPr>
    </w:p>
    <w:p w14:paraId="3E3641E2" w14:textId="77777777" w:rsidR="00F35942" w:rsidRPr="00E124FF" w:rsidRDefault="00F35942" w:rsidP="00E124FF">
      <w:pPr>
        <w:pStyle w:val="EndnoteText"/>
        <w:ind w:left="1080"/>
        <w:rPr>
          <w:rFonts w:ascii="Times New Roman" w:hAnsi="Times New Roman" w:cs="Times New Roman"/>
          <w:sz w:val="24"/>
          <w:szCs w:val="24"/>
        </w:rPr>
      </w:pPr>
    </w:p>
    <w:p w14:paraId="428A3EC3" w14:textId="77777777" w:rsidR="00F35942" w:rsidRPr="00E124FF" w:rsidRDefault="00F35942" w:rsidP="00E124FF">
      <w:pPr>
        <w:pStyle w:val="EndnoteText"/>
        <w:ind w:left="1080"/>
        <w:rPr>
          <w:rFonts w:ascii="Times New Roman" w:hAnsi="Times New Roman" w:cs="Times New Roman"/>
          <w:sz w:val="24"/>
          <w:szCs w:val="24"/>
        </w:rPr>
      </w:pPr>
    </w:p>
    <w:p w14:paraId="4C969981" w14:textId="77777777" w:rsidR="00F35942" w:rsidRPr="00E124FF" w:rsidRDefault="00F35942" w:rsidP="00E124FF">
      <w:pPr>
        <w:pStyle w:val="EndnoteText"/>
        <w:ind w:left="1080"/>
        <w:rPr>
          <w:rFonts w:ascii="Times New Roman" w:hAnsi="Times New Roman" w:cs="Times New Roman"/>
          <w:sz w:val="24"/>
          <w:szCs w:val="24"/>
        </w:rPr>
      </w:pPr>
    </w:p>
    <w:p w14:paraId="488BBB76" w14:textId="77777777" w:rsidR="00F35942" w:rsidRPr="00E124FF" w:rsidRDefault="00F35942" w:rsidP="00E124FF">
      <w:pPr>
        <w:pStyle w:val="EndnoteText"/>
        <w:ind w:left="1080"/>
        <w:rPr>
          <w:rFonts w:ascii="Times New Roman" w:hAnsi="Times New Roman" w:cs="Times New Roman"/>
          <w:sz w:val="24"/>
          <w:szCs w:val="24"/>
        </w:rPr>
      </w:pPr>
    </w:p>
    <w:p w14:paraId="33A3704A" w14:textId="77777777" w:rsidR="00F35942" w:rsidRPr="00E124FF" w:rsidRDefault="00F35942" w:rsidP="00E124FF">
      <w:pPr>
        <w:pStyle w:val="EndnoteText"/>
        <w:ind w:left="1080"/>
        <w:rPr>
          <w:rFonts w:ascii="Times New Roman" w:hAnsi="Times New Roman" w:cs="Times New Roman"/>
          <w:sz w:val="24"/>
          <w:szCs w:val="24"/>
        </w:rPr>
      </w:pPr>
    </w:p>
    <w:p w14:paraId="2017993B" w14:textId="77777777" w:rsidR="00F35942" w:rsidRPr="00E124FF" w:rsidRDefault="00F35942" w:rsidP="00E124FF">
      <w:pPr>
        <w:pStyle w:val="EndnoteText"/>
        <w:ind w:left="1080"/>
        <w:rPr>
          <w:rFonts w:ascii="Times New Roman" w:hAnsi="Times New Roman" w:cs="Times New Roman"/>
          <w:sz w:val="24"/>
          <w:szCs w:val="24"/>
        </w:rPr>
      </w:pPr>
    </w:p>
    <w:p w14:paraId="445E37D0" w14:textId="77777777" w:rsidR="00F35942" w:rsidRPr="00E124FF" w:rsidRDefault="00F35942" w:rsidP="00E124FF">
      <w:pPr>
        <w:pStyle w:val="EndnoteText"/>
        <w:ind w:left="1080"/>
        <w:rPr>
          <w:rFonts w:ascii="Times New Roman" w:hAnsi="Times New Roman" w:cs="Times New Roman"/>
          <w:sz w:val="24"/>
          <w:szCs w:val="24"/>
        </w:rPr>
      </w:pPr>
    </w:p>
    <w:p w14:paraId="28D8F36D" w14:textId="77777777" w:rsidR="00F35942" w:rsidRPr="00E124FF" w:rsidRDefault="00F35942" w:rsidP="00E124FF">
      <w:pPr>
        <w:pStyle w:val="EndnoteText"/>
        <w:rPr>
          <w:rFonts w:ascii="Times New Roman" w:hAnsi="Times New Roman" w:cs="Times New Roman"/>
          <w:sz w:val="24"/>
          <w:szCs w:val="24"/>
        </w:rPr>
      </w:pPr>
    </w:p>
  </w:endnote>
  <w:endnote w:id="2">
    <w:p w14:paraId="591EA6D3" w14:textId="10EFAB66" w:rsidR="00267DAE" w:rsidRPr="00E124FF" w:rsidRDefault="00267DAE" w:rsidP="00E124FF">
      <w:pPr>
        <w:spacing w:line="240" w:lineRule="auto"/>
        <w:rPr>
          <w:rFonts w:ascii="Times New Roman" w:hAnsi="Times New Roman" w:cs="Times New Roman"/>
        </w:rPr>
      </w:pPr>
      <w:r w:rsidRPr="00E124FF">
        <w:rPr>
          <w:rStyle w:val="EndnoteReference"/>
          <w:rFonts w:ascii="Times New Roman" w:hAnsi="Times New Roman" w:cs="Times New Roman"/>
        </w:rPr>
        <w:endnoteRef/>
      </w:r>
      <w:r w:rsidRPr="00E124FF">
        <w:rPr>
          <w:rFonts w:ascii="Times New Roman" w:hAnsi="Times New Roman" w:cs="Times New Roman"/>
        </w:rPr>
        <w:t xml:space="preserve"> </w:t>
      </w:r>
      <w:r w:rsidRPr="00E124FF">
        <w:rPr>
          <w:rFonts w:ascii="Times New Roman" w:hAnsi="Times New Roman" w:cs="Times New Roman"/>
          <w:b/>
          <w:bCs/>
        </w:rPr>
        <w:t>A</w:t>
      </w:r>
      <w:r w:rsidR="00915116">
        <w:rPr>
          <w:rFonts w:ascii="Times New Roman" w:hAnsi="Times New Roman" w:cs="Times New Roman"/>
          <w:b/>
          <w:bCs/>
        </w:rPr>
        <w:t xml:space="preserve"> LOCAL </w:t>
      </w:r>
      <w:r w:rsidR="00915116" w:rsidRPr="00E124FF">
        <w:rPr>
          <w:rFonts w:ascii="Times New Roman" w:hAnsi="Times New Roman" w:cs="Times New Roman"/>
          <w:b/>
          <w:bCs/>
        </w:rPr>
        <w:t>PRACTICE</w:t>
      </w:r>
      <w:r w:rsidRPr="00E124FF">
        <w:rPr>
          <w:rFonts w:ascii="Times New Roman" w:hAnsi="Times New Roman" w:cs="Times New Roman"/>
          <w:b/>
          <w:bCs/>
        </w:rPr>
        <w:t xml:space="preserve"> NOTE DEALING WITH REQUESTS FOR URGENT HEARINGS WITHIN 2-5 DAYS</w:t>
      </w:r>
      <w:r w:rsidR="00ED3F51" w:rsidRPr="00E124FF">
        <w:rPr>
          <w:rFonts w:ascii="Times New Roman" w:hAnsi="Times New Roman" w:cs="Times New Roman"/>
          <w:b/>
          <w:bCs/>
        </w:rPr>
        <w:t xml:space="preserve"> ( BUSINESS DAYS)</w:t>
      </w:r>
    </w:p>
    <w:p w14:paraId="07F2C2AC" w14:textId="77777777" w:rsidR="00267DAE" w:rsidRPr="00E124FF" w:rsidRDefault="00267DAE" w:rsidP="00E124FF">
      <w:pPr>
        <w:spacing w:line="240" w:lineRule="auto"/>
        <w:rPr>
          <w:rFonts w:ascii="Times New Roman" w:hAnsi="Times New Roman" w:cs="Times New Roman"/>
        </w:rPr>
      </w:pPr>
    </w:p>
    <w:p w14:paraId="6D861A2D" w14:textId="13619BA1" w:rsidR="00ED3F51" w:rsidRPr="00E124FF" w:rsidRDefault="00267DAE" w:rsidP="00E124FF">
      <w:pPr>
        <w:pStyle w:val="ListParagraph"/>
        <w:numPr>
          <w:ilvl w:val="0"/>
          <w:numId w:val="12"/>
        </w:numPr>
        <w:spacing w:after="0" w:line="240" w:lineRule="auto"/>
        <w:jc w:val="both"/>
        <w:rPr>
          <w:rFonts w:ascii="Times New Roman" w:hAnsi="Times New Roman" w:cs="Times New Roman"/>
        </w:rPr>
      </w:pPr>
      <w:r w:rsidRPr="00E124FF">
        <w:rPr>
          <w:rFonts w:ascii="Times New Roman" w:hAnsi="Times New Roman" w:cs="Times New Roman"/>
        </w:rPr>
        <w:t xml:space="preserve">Listing is a judicial function. Where a case does not fulfil the criteria for urgency, the judge will decline to deal with it and the application will be given a listing in the ordinary way.  The court will be rigorous in refusing to deal with cases that do not meet the criteria of urgency.  </w:t>
      </w:r>
    </w:p>
    <w:p w14:paraId="446609E6" w14:textId="77777777" w:rsidR="00ED3F51" w:rsidRPr="00E124FF" w:rsidRDefault="00ED3F51" w:rsidP="00E124FF">
      <w:pPr>
        <w:pStyle w:val="ListParagraph"/>
        <w:spacing w:after="0" w:line="240" w:lineRule="auto"/>
        <w:jc w:val="both"/>
        <w:rPr>
          <w:rFonts w:ascii="Times New Roman" w:hAnsi="Times New Roman" w:cs="Times New Roman"/>
        </w:rPr>
      </w:pPr>
    </w:p>
    <w:p w14:paraId="7C81453D" w14:textId="0C70CCC2" w:rsidR="00ED3F51" w:rsidRPr="00E124FF" w:rsidRDefault="00267DAE" w:rsidP="00E124FF">
      <w:pPr>
        <w:pStyle w:val="ListParagraph"/>
        <w:numPr>
          <w:ilvl w:val="0"/>
          <w:numId w:val="12"/>
        </w:numPr>
        <w:spacing w:after="0" w:line="240" w:lineRule="auto"/>
        <w:jc w:val="both"/>
        <w:rPr>
          <w:rFonts w:ascii="Times New Roman" w:hAnsi="Times New Roman" w:cs="Times New Roman"/>
        </w:rPr>
      </w:pPr>
      <w:r w:rsidRPr="00E124FF">
        <w:rPr>
          <w:rFonts w:ascii="Times New Roman" w:hAnsi="Times New Roman" w:cs="Times New Roman"/>
        </w:rPr>
        <w:t xml:space="preserve"> Applicants for urgent orders must be accompanied by a statement which includes an explanation of why the case is said to meet the criteria for urgency, and a draft of the order sought following the President’s standard format</w:t>
      </w:r>
      <w:r w:rsidR="00ED3F51" w:rsidRPr="00E124FF">
        <w:rPr>
          <w:rFonts w:ascii="Times New Roman" w:hAnsi="Times New Roman" w:cs="Times New Roman"/>
        </w:rPr>
        <w:t>.</w:t>
      </w:r>
    </w:p>
    <w:p w14:paraId="064A324B" w14:textId="77777777" w:rsidR="00ED3F51" w:rsidRPr="00E124FF" w:rsidRDefault="00ED3F51" w:rsidP="00E124FF">
      <w:pPr>
        <w:pStyle w:val="ListParagraph"/>
        <w:spacing w:line="240" w:lineRule="auto"/>
        <w:rPr>
          <w:rFonts w:ascii="Times New Roman" w:hAnsi="Times New Roman" w:cs="Times New Roman"/>
        </w:rPr>
      </w:pPr>
    </w:p>
    <w:p w14:paraId="7E26EB6C" w14:textId="48339854" w:rsidR="00267DAE" w:rsidRPr="00E124FF" w:rsidRDefault="00267DAE" w:rsidP="00E124FF">
      <w:pPr>
        <w:pStyle w:val="ListParagraph"/>
        <w:numPr>
          <w:ilvl w:val="0"/>
          <w:numId w:val="12"/>
        </w:numPr>
        <w:spacing w:after="0" w:line="240" w:lineRule="auto"/>
        <w:jc w:val="both"/>
        <w:rPr>
          <w:rFonts w:ascii="Times New Roman" w:hAnsi="Times New Roman" w:cs="Times New Roman"/>
        </w:rPr>
      </w:pPr>
      <w:r w:rsidRPr="00E124FF">
        <w:rPr>
          <w:rFonts w:ascii="Times New Roman" w:hAnsi="Times New Roman" w:cs="Times New Roman"/>
        </w:rPr>
        <w:t>The following work may be dealt with as an urgent application where, but only where, the criteria for urgency is fulfilled (this is not an exhaustive list):</w:t>
      </w:r>
    </w:p>
    <w:p w14:paraId="362299AD" w14:textId="77777777" w:rsidR="00267DAE" w:rsidRPr="00E124FF" w:rsidRDefault="00267DAE" w:rsidP="00E124FF">
      <w:pPr>
        <w:spacing w:line="240" w:lineRule="auto"/>
        <w:ind w:left="1440" w:hanging="720"/>
        <w:jc w:val="both"/>
        <w:rPr>
          <w:rFonts w:ascii="Times New Roman" w:hAnsi="Times New Roman" w:cs="Times New Roman"/>
        </w:rPr>
      </w:pPr>
      <w:r w:rsidRPr="00E124FF">
        <w:rPr>
          <w:rFonts w:ascii="Times New Roman" w:hAnsi="Times New Roman" w:cs="Times New Roman"/>
        </w:rPr>
        <w:t xml:space="preserve">(a)          Injunctions (including non-molestation injunctions, forced marriage protection orders and female genital mutilation orders) where without such an order the immediate safety of an individual would be compromised; </w:t>
      </w:r>
    </w:p>
    <w:p w14:paraId="686E5D09" w14:textId="77777777" w:rsidR="00267DAE" w:rsidRPr="00E124FF" w:rsidRDefault="00267DAE" w:rsidP="00E124FF">
      <w:pPr>
        <w:spacing w:line="240" w:lineRule="auto"/>
        <w:ind w:left="1440" w:hanging="720"/>
        <w:jc w:val="both"/>
        <w:rPr>
          <w:rFonts w:ascii="Times New Roman" w:hAnsi="Times New Roman" w:cs="Times New Roman"/>
        </w:rPr>
      </w:pPr>
      <w:r w:rsidRPr="00E124FF">
        <w:rPr>
          <w:rFonts w:ascii="Times New Roman" w:hAnsi="Times New Roman" w:cs="Times New Roman"/>
        </w:rPr>
        <w:t>(b)          Applications under the Children Act 1989 where without such an order a child’s immediate safety would be compromised, including where there is an immediate threat of child abduction.</w:t>
      </w:r>
    </w:p>
    <w:p w14:paraId="6CF3FE47" w14:textId="77777777" w:rsidR="00267DAE" w:rsidRPr="00E124FF" w:rsidRDefault="00267DAE" w:rsidP="00E124FF">
      <w:pPr>
        <w:spacing w:line="240" w:lineRule="auto"/>
        <w:ind w:left="1440" w:hanging="720"/>
        <w:jc w:val="both"/>
        <w:rPr>
          <w:rFonts w:ascii="Times New Roman" w:hAnsi="Times New Roman" w:cs="Times New Roman"/>
        </w:rPr>
      </w:pPr>
      <w:r w:rsidRPr="00E124FF">
        <w:rPr>
          <w:rFonts w:ascii="Times New Roman" w:hAnsi="Times New Roman" w:cs="Times New Roman"/>
        </w:rPr>
        <w:t>(c)          Applications for Emergency Protection Orders where the criteria for such or order is met.</w:t>
      </w:r>
    </w:p>
    <w:p w14:paraId="676EEC17" w14:textId="7D8F73B4" w:rsidR="00267DAE" w:rsidRPr="00E124FF" w:rsidRDefault="00267DAE" w:rsidP="00E124FF">
      <w:pPr>
        <w:spacing w:line="240" w:lineRule="auto"/>
        <w:ind w:left="1440" w:hanging="720"/>
        <w:jc w:val="both"/>
        <w:rPr>
          <w:rFonts w:ascii="Times New Roman" w:hAnsi="Times New Roman" w:cs="Times New Roman"/>
        </w:rPr>
      </w:pPr>
      <w:r w:rsidRPr="00E124FF">
        <w:rPr>
          <w:rFonts w:ascii="Times New Roman" w:hAnsi="Times New Roman" w:cs="Times New Roman"/>
        </w:rPr>
        <w:t>(d)          Other urgent applications where, without an order being made, an individual’s immediate safety would be compromised.</w:t>
      </w:r>
    </w:p>
    <w:p w14:paraId="256429C4" w14:textId="77777777" w:rsidR="00267DAE" w:rsidRPr="00E124FF" w:rsidRDefault="00267DAE" w:rsidP="00E124FF">
      <w:pPr>
        <w:pStyle w:val="ListParagraph"/>
        <w:spacing w:line="240" w:lineRule="auto"/>
        <w:jc w:val="both"/>
        <w:rPr>
          <w:rFonts w:ascii="Times New Roman" w:hAnsi="Times New Roman" w:cs="Times New Roman"/>
        </w:rPr>
      </w:pPr>
    </w:p>
    <w:p w14:paraId="1DF33527" w14:textId="77777777" w:rsidR="00267DAE" w:rsidRPr="00E124FF" w:rsidRDefault="00267DAE" w:rsidP="00E124FF">
      <w:pPr>
        <w:pStyle w:val="ListParagraph"/>
        <w:spacing w:line="240" w:lineRule="auto"/>
        <w:jc w:val="both"/>
        <w:rPr>
          <w:rFonts w:ascii="Times New Roman" w:hAnsi="Times New Roman" w:cs="Times New Roman"/>
        </w:rPr>
      </w:pPr>
    </w:p>
    <w:p w14:paraId="164ACF6B" w14:textId="77777777" w:rsidR="00267DAE" w:rsidRPr="00E124FF" w:rsidRDefault="00267DAE" w:rsidP="00E124FF">
      <w:pPr>
        <w:pStyle w:val="ListParagraph"/>
        <w:numPr>
          <w:ilvl w:val="0"/>
          <w:numId w:val="12"/>
        </w:numPr>
        <w:spacing w:after="0" w:line="240" w:lineRule="auto"/>
        <w:jc w:val="both"/>
        <w:rPr>
          <w:rFonts w:ascii="Times New Roman" w:hAnsi="Times New Roman" w:cs="Times New Roman"/>
        </w:rPr>
      </w:pPr>
      <w:r w:rsidRPr="00E124FF">
        <w:rPr>
          <w:rFonts w:ascii="Times New Roman" w:hAnsi="Times New Roman" w:cs="Times New Roman"/>
        </w:rPr>
        <w:t xml:space="preserve">The key point is that the applicant </w:t>
      </w:r>
      <w:r w:rsidRPr="00E124FF">
        <w:rPr>
          <w:rFonts w:ascii="Times New Roman" w:hAnsi="Times New Roman" w:cs="Times New Roman"/>
          <w:b/>
          <w:bCs/>
        </w:rPr>
        <w:t>must provide sufficient information/evidence upon which the gatekeepers are able to exercise their judgement</w:t>
      </w:r>
      <w:r w:rsidRPr="00E124FF">
        <w:rPr>
          <w:rFonts w:ascii="Times New Roman" w:hAnsi="Times New Roman" w:cs="Times New Roman"/>
        </w:rPr>
        <w:t xml:space="preserve"> on whether the case is suitable for an urgent listing.</w:t>
      </w:r>
    </w:p>
    <w:p w14:paraId="4F0402D4" w14:textId="77777777" w:rsidR="00267DAE" w:rsidRPr="00E124FF" w:rsidRDefault="00267DAE" w:rsidP="00E124FF">
      <w:pPr>
        <w:pStyle w:val="ListParagraph"/>
        <w:spacing w:line="240" w:lineRule="auto"/>
        <w:rPr>
          <w:rFonts w:ascii="Times New Roman" w:hAnsi="Times New Roman" w:cs="Times New Roman"/>
        </w:rPr>
      </w:pPr>
    </w:p>
    <w:p w14:paraId="67ED5961" w14:textId="77777777" w:rsidR="00267DAE" w:rsidRPr="00E124FF" w:rsidRDefault="00267DAE" w:rsidP="00E124FF">
      <w:pPr>
        <w:pStyle w:val="ListParagraph"/>
        <w:numPr>
          <w:ilvl w:val="0"/>
          <w:numId w:val="12"/>
        </w:numPr>
        <w:spacing w:after="0" w:line="240" w:lineRule="auto"/>
        <w:jc w:val="both"/>
        <w:rPr>
          <w:rFonts w:ascii="Times New Roman" w:hAnsi="Times New Roman" w:cs="Times New Roman"/>
        </w:rPr>
      </w:pPr>
      <w:r w:rsidRPr="00E124FF">
        <w:rPr>
          <w:rFonts w:ascii="Times New Roman" w:hAnsi="Times New Roman" w:cs="Times New Roman"/>
        </w:rPr>
        <w:t>The information sheet produced by the PLWG in their final report in March 2021 at F3 for emergency/urgent applications details the points that should be covered by an applicant in their application and/or accompanying statement. If the points are not covered then the risk is that insufficient information will be provided to justify an urgent listing.</w:t>
      </w:r>
    </w:p>
    <w:p w14:paraId="178ABA54" w14:textId="77777777" w:rsidR="00267DAE" w:rsidRPr="00E124FF" w:rsidRDefault="00267DAE" w:rsidP="00E124FF">
      <w:pPr>
        <w:pStyle w:val="ListParagraph"/>
        <w:spacing w:line="240" w:lineRule="auto"/>
        <w:rPr>
          <w:rFonts w:ascii="Times New Roman" w:hAnsi="Times New Roman" w:cs="Times New Roman"/>
        </w:rPr>
      </w:pPr>
    </w:p>
    <w:p w14:paraId="401AE50F" w14:textId="558F2F4F" w:rsidR="00267DAE" w:rsidRPr="00E124FF" w:rsidRDefault="00267DAE" w:rsidP="00E124FF">
      <w:pPr>
        <w:pStyle w:val="ListParagraph"/>
        <w:numPr>
          <w:ilvl w:val="0"/>
          <w:numId w:val="12"/>
        </w:numPr>
        <w:spacing w:after="0" w:line="240" w:lineRule="auto"/>
        <w:jc w:val="both"/>
        <w:rPr>
          <w:rFonts w:ascii="Times New Roman" w:hAnsi="Times New Roman" w:cs="Times New Roman"/>
        </w:rPr>
      </w:pPr>
      <w:r w:rsidRPr="00E124FF">
        <w:rPr>
          <w:rFonts w:ascii="Times New Roman" w:hAnsi="Times New Roman" w:cs="Times New Roman"/>
        </w:rPr>
        <w:t xml:space="preserve">If insufficient material is </w:t>
      </w:r>
      <w:r w:rsidR="00915116" w:rsidRPr="00E124FF">
        <w:rPr>
          <w:rFonts w:ascii="Times New Roman" w:hAnsi="Times New Roman" w:cs="Times New Roman"/>
        </w:rPr>
        <w:t>provided,</w:t>
      </w:r>
      <w:r w:rsidRPr="00E124FF">
        <w:rPr>
          <w:rFonts w:ascii="Times New Roman" w:hAnsi="Times New Roman" w:cs="Times New Roman"/>
        </w:rPr>
        <w:t xml:space="preserve"> then the matter will be listed in accordance with the PLO</w:t>
      </w:r>
      <w:r w:rsidR="00915116">
        <w:rPr>
          <w:rFonts w:ascii="Times New Roman" w:hAnsi="Times New Roman" w:cs="Times New Roman"/>
        </w:rPr>
        <w:t>.</w:t>
      </w:r>
      <w:r w:rsidRPr="00E124FF">
        <w:rPr>
          <w:rFonts w:ascii="Times New Roman" w:hAnsi="Times New Roman" w:cs="Times New Roman"/>
        </w:rPr>
        <w:t>There will not be any obligation on the gatekeepers to pursue the applicant by telephone call or email for further information or evidence. They will simply make a decision on the basis of what they have.</w:t>
      </w:r>
    </w:p>
    <w:p w14:paraId="4B5319CE" w14:textId="62D2414C" w:rsidR="00267DAE" w:rsidRPr="00E124FF" w:rsidRDefault="00267DAE" w:rsidP="00E124FF">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983" w14:textId="77777777" w:rsidR="00B0285D" w:rsidRDefault="00B02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759985"/>
      <w:docPartObj>
        <w:docPartGallery w:val="Page Numbers (Bottom of Page)"/>
        <w:docPartUnique/>
      </w:docPartObj>
    </w:sdtPr>
    <w:sdtEndPr>
      <w:rPr>
        <w:noProof/>
      </w:rPr>
    </w:sdtEndPr>
    <w:sdtContent>
      <w:p w14:paraId="0837E5BA" w14:textId="2FA77A92" w:rsidR="00702092" w:rsidRDefault="007020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D5CF2" w14:textId="77777777" w:rsidR="00702092" w:rsidRDefault="0070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98F5" w14:textId="77777777" w:rsidR="00B0285D" w:rsidRDefault="00B02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7C08" w14:textId="77777777" w:rsidR="008D0CAC" w:rsidRDefault="008D0CAC" w:rsidP="00D436A3">
      <w:pPr>
        <w:spacing w:after="0" w:line="240" w:lineRule="auto"/>
      </w:pPr>
      <w:r>
        <w:separator/>
      </w:r>
    </w:p>
  </w:footnote>
  <w:footnote w:type="continuationSeparator" w:id="0">
    <w:p w14:paraId="683D528E" w14:textId="77777777" w:rsidR="008D0CAC" w:rsidRDefault="008D0CAC" w:rsidP="00D4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A94F" w14:textId="16ABD7B4" w:rsidR="00B0285D" w:rsidRDefault="00B02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A99A" w14:textId="27A0826B" w:rsidR="00B0285D" w:rsidRDefault="00B02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7821" w14:textId="4747559A" w:rsidR="00B0285D" w:rsidRDefault="00B02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425"/>
    <w:multiLevelType w:val="multilevel"/>
    <w:tmpl w:val="50AC3AA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CABB857"/>
    <w:multiLevelType w:val="hybridMultilevel"/>
    <w:tmpl w:val="4E08F8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DE9EF6A0">
      <w:start w:val="1"/>
      <w:numFmt w:val="lowerRoman"/>
      <w:lvlText w:val="%3."/>
      <w:lvlJc w:val="right"/>
      <w:pPr>
        <w:ind w:left="2160" w:hanging="180"/>
      </w:pPr>
    </w:lvl>
    <w:lvl w:ilvl="3" w:tplc="0772015A">
      <w:start w:val="1"/>
      <w:numFmt w:val="decimal"/>
      <w:lvlText w:val="%4."/>
      <w:lvlJc w:val="left"/>
      <w:pPr>
        <w:ind w:left="2880" w:hanging="360"/>
      </w:pPr>
    </w:lvl>
    <w:lvl w:ilvl="4" w:tplc="3E4C6766">
      <w:start w:val="1"/>
      <w:numFmt w:val="lowerLetter"/>
      <w:lvlText w:val="%5."/>
      <w:lvlJc w:val="left"/>
      <w:pPr>
        <w:ind w:left="3600" w:hanging="360"/>
      </w:pPr>
    </w:lvl>
    <w:lvl w:ilvl="5" w:tplc="10980B76">
      <w:start w:val="1"/>
      <w:numFmt w:val="lowerRoman"/>
      <w:lvlText w:val="%6."/>
      <w:lvlJc w:val="right"/>
      <w:pPr>
        <w:ind w:left="4320" w:hanging="180"/>
      </w:pPr>
    </w:lvl>
    <w:lvl w:ilvl="6" w:tplc="311A2B8E">
      <w:start w:val="1"/>
      <w:numFmt w:val="decimal"/>
      <w:lvlText w:val="%7."/>
      <w:lvlJc w:val="left"/>
      <w:pPr>
        <w:ind w:left="5040" w:hanging="360"/>
      </w:pPr>
    </w:lvl>
    <w:lvl w:ilvl="7" w:tplc="3306F4AC">
      <w:start w:val="1"/>
      <w:numFmt w:val="lowerLetter"/>
      <w:lvlText w:val="%8."/>
      <w:lvlJc w:val="left"/>
      <w:pPr>
        <w:ind w:left="5760" w:hanging="360"/>
      </w:pPr>
    </w:lvl>
    <w:lvl w:ilvl="8" w:tplc="080E7E6A">
      <w:start w:val="1"/>
      <w:numFmt w:val="lowerRoman"/>
      <w:lvlText w:val="%9."/>
      <w:lvlJc w:val="right"/>
      <w:pPr>
        <w:ind w:left="6480" w:hanging="180"/>
      </w:pPr>
    </w:lvl>
  </w:abstractNum>
  <w:abstractNum w:abstractNumId="2" w15:restartNumberingAfterBreak="0">
    <w:nsid w:val="0D8C5AB1"/>
    <w:multiLevelType w:val="hybridMultilevel"/>
    <w:tmpl w:val="AF84E516"/>
    <w:lvl w:ilvl="0" w:tplc="1A383B6C">
      <w:start w:val="1"/>
      <w:numFmt w:val="bullet"/>
      <w:lvlText w:val=""/>
      <w:lvlJc w:val="left"/>
      <w:pPr>
        <w:ind w:left="720" w:hanging="360"/>
      </w:pPr>
      <w:rPr>
        <w:rFonts w:ascii="Symbol" w:hAnsi="Symbol" w:hint="default"/>
      </w:rPr>
    </w:lvl>
    <w:lvl w:ilvl="1" w:tplc="0798C5AE">
      <w:start w:val="1"/>
      <w:numFmt w:val="bullet"/>
      <w:lvlText w:val="o"/>
      <w:lvlJc w:val="left"/>
      <w:pPr>
        <w:ind w:left="1440" w:hanging="360"/>
      </w:pPr>
      <w:rPr>
        <w:rFonts w:ascii="Courier New" w:hAnsi="Courier New" w:hint="default"/>
      </w:rPr>
    </w:lvl>
    <w:lvl w:ilvl="2" w:tplc="420C3AC2">
      <w:start w:val="1"/>
      <w:numFmt w:val="bullet"/>
      <w:lvlText w:val=""/>
      <w:lvlJc w:val="left"/>
      <w:pPr>
        <w:ind w:left="2160" w:hanging="360"/>
      </w:pPr>
      <w:rPr>
        <w:rFonts w:ascii="Wingdings" w:hAnsi="Wingdings" w:hint="default"/>
      </w:rPr>
    </w:lvl>
    <w:lvl w:ilvl="3" w:tplc="865A9D82">
      <w:start w:val="1"/>
      <w:numFmt w:val="bullet"/>
      <w:lvlText w:val=""/>
      <w:lvlJc w:val="left"/>
      <w:pPr>
        <w:ind w:left="2880" w:hanging="360"/>
      </w:pPr>
      <w:rPr>
        <w:rFonts w:ascii="Symbol" w:hAnsi="Symbol" w:hint="default"/>
      </w:rPr>
    </w:lvl>
    <w:lvl w:ilvl="4" w:tplc="2374788A">
      <w:start w:val="1"/>
      <w:numFmt w:val="bullet"/>
      <w:lvlText w:val="o"/>
      <w:lvlJc w:val="left"/>
      <w:pPr>
        <w:ind w:left="3600" w:hanging="360"/>
      </w:pPr>
      <w:rPr>
        <w:rFonts w:ascii="Courier New" w:hAnsi="Courier New" w:hint="default"/>
      </w:rPr>
    </w:lvl>
    <w:lvl w:ilvl="5" w:tplc="E12CFCB0">
      <w:start w:val="1"/>
      <w:numFmt w:val="bullet"/>
      <w:lvlText w:val=""/>
      <w:lvlJc w:val="left"/>
      <w:pPr>
        <w:ind w:left="4320" w:hanging="360"/>
      </w:pPr>
      <w:rPr>
        <w:rFonts w:ascii="Wingdings" w:hAnsi="Wingdings" w:hint="default"/>
      </w:rPr>
    </w:lvl>
    <w:lvl w:ilvl="6" w:tplc="9AB20A8C">
      <w:start w:val="1"/>
      <w:numFmt w:val="bullet"/>
      <w:lvlText w:val=""/>
      <w:lvlJc w:val="left"/>
      <w:pPr>
        <w:ind w:left="5040" w:hanging="360"/>
      </w:pPr>
      <w:rPr>
        <w:rFonts w:ascii="Symbol" w:hAnsi="Symbol" w:hint="default"/>
      </w:rPr>
    </w:lvl>
    <w:lvl w:ilvl="7" w:tplc="DD0EEF2C">
      <w:start w:val="1"/>
      <w:numFmt w:val="bullet"/>
      <w:lvlText w:val="o"/>
      <w:lvlJc w:val="left"/>
      <w:pPr>
        <w:ind w:left="5760" w:hanging="360"/>
      </w:pPr>
      <w:rPr>
        <w:rFonts w:ascii="Courier New" w:hAnsi="Courier New" w:hint="default"/>
      </w:rPr>
    </w:lvl>
    <w:lvl w:ilvl="8" w:tplc="2ACC3322">
      <w:start w:val="1"/>
      <w:numFmt w:val="bullet"/>
      <w:lvlText w:val=""/>
      <w:lvlJc w:val="left"/>
      <w:pPr>
        <w:ind w:left="6480" w:hanging="360"/>
      </w:pPr>
      <w:rPr>
        <w:rFonts w:ascii="Wingdings" w:hAnsi="Wingdings" w:hint="default"/>
      </w:rPr>
    </w:lvl>
  </w:abstractNum>
  <w:abstractNum w:abstractNumId="3" w15:restartNumberingAfterBreak="0">
    <w:nsid w:val="27621F41"/>
    <w:multiLevelType w:val="multilevel"/>
    <w:tmpl w:val="4D88CB0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DE803"/>
    <w:multiLevelType w:val="hybridMultilevel"/>
    <w:tmpl w:val="4C5274C8"/>
    <w:lvl w:ilvl="0" w:tplc="A8C87DF2">
      <w:start w:val="1"/>
      <w:numFmt w:val="bullet"/>
      <w:lvlText w:val=""/>
      <w:lvlJc w:val="left"/>
      <w:pPr>
        <w:ind w:left="1080" w:hanging="360"/>
      </w:pPr>
      <w:rPr>
        <w:rFonts w:ascii="Symbol" w:hAnsi="Symbol" w:hint="default"/>
      </w:rPr>
    </w:lvl>
    <w:lvl w:ilvl="1" w:tplc="22765550">
      <w:start w:val="1"/>
      <w:numFmt w:val="bullet"/>
      <w:lvlText w:val="o"/>
      <w:lvlJc w:val="left"/>
      <w:pPr>
        <w:ind w:left="1800" w:hanging="360"/>
      </w:pPr>
      <w:rPr>
        <w:rFonts w:ascii="Courier New" w:hAnsi="Courier New" w:hint="default"/>
      </w:rPr>
    </w:lvl>
    <w:lvl w:ilvl="2" w:tplc="51B4E9BA">
      <w:start w:val="1"/>
      <w:numFmt w:val="bullet"/>
      <w:lvlText w:val=""/>
      <w:lvlJc w:val="left"/>
      <w:pPr>
        <w:ind w:left="2520" w:hanging="360"/>
      </w:pPr>
      <w:rPr>
        <w:rFonts w:ascii="Wingdings" w:hAnsi="Wingdings" w:hint="default"/>
      </w:rPr>
    </w:lvl>
    <w:lvl w:ilvl="3" w:tplc="2AB26074">
      <w:start w:val="1"/>
      <w:numFmt w:val="bullet"/>
      <w:lvlText w:val=""/>
      <w:lvlJc w:val="left"/>
      <w:pPr>
        <w:ind w:left="3240" w:hanging="360"/>
      </w:pPr>
      <w:rPr>
        <w:rFonts w:ascii="Symbol" w:hAnsi="Symbol" w:hint="default"/>
      </w:rPr>
    </w:lvl>
    <w:lvl w:ilvl="4" w:tplc="D61A44BA">
      <w:start w:val="1"/>
      <w:numFmt w:val="bullet"/>
      <w:lvlText w:val="o"/>
      <w:lvlJc w:val="left"/>
      <w:pPr>
        <w:ind w:left="3960" w:hanging="360"/>
      </w:pPr>
      <w:rPr>
        <w:rFonts w:ascii="Courier New" w:hAnsi="Courier New" w:hint="default"/>
      </w:rPr>
    </w:lvl>
    <w:lvl w:ilvl="5" w:tplc="2730D22E">
      <w:start w:val="1"/>
      <w:numFmt w:val="bullet"/>
      <w:lvlText w:val=""/>
      <w:lvlJc w:val="left"/>
      <w:pPr>
        <w:ind w:left="4680" w:hanging="360"/>
      </w:pPr>
      <w:rPr>
        <w:rFonts w:ascii="Wingdings" w:hAnsi="Wingdings" w:hint="default"/>
      </w:rPr>
    </w:lvl>
    <w:lvl w:ilvl="6" w:tplc="EC62ECE6">
      <w:start w:val="1"/>
      <w:numFmt w:val="bullet"/>
      <w:lvlText w:val=""/>
      <w:lvlJc w:val="left"/>
      <w:pPr>
        <w:ind w:left="5400" w:hanging="360"/>
      </w:pPr>
      <w:rPr>
        <w:rFonts w:ascii="Symbol" w:hAnsi="Symbol" w:hint="default"/>
      </w:rPr>
    </w:lvl>
    <w:lvl w:ilvl="7" w:tplc="C7988EEC">
      <w:start w:val="1"/>
      <w:numFmt w:val="bullet"/>
      <w:lvlText w:val="o"/>
      <w:lvlJc w:val="left"/>
      <w:pPr>
        <w:ind w:left="6120" w:hanging="360"/>
      </w:pPr>
      <w:rPr>
        <w:rFonts w:ascii="Courier New" w:hAnsi="Courier New" w:hint="default"/>
      </w:rPr>
    </w:lvl>
    <w:lvl w:ilvl="8" w:tplc="5C409244">
      <w:start w:val="1"/>
      <w:numFmt w:val="bullet"/>
      <w:lvlText w:val=""/>
      <w:lvlJc w:val="left"/>
      <w:pPr>
        <w:ind w:left="6840" w:hanging="360"/>
      </w:pPr>
      <w:rPr>
        <w:rFonts w:ascii="Wingdings" w:hAnsi="Wingdings" w:hint="default"/>
      </w:rPr>
    </w:lvl>
  </w:abstractNum>
  <w:abstractNum w:abstractNumId="5" w15:restartNumberingAfterBreak="0">
    <w:nsid w:val="32D54453"/>
    <w:multiLevelType w:val="hybridMultilevel"/>
    <w:tmpl w:val="2CA6697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08090019">
      <w:start w:val="1"/>
      <w:numFmt w:val="lowerLetter"/>
      <w:lvlText w:val="%3."/>
      <w:lvlJc w:val="left"/>
      <w:pPr>
        <w:ind w:left="1800" w:hanging="36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347D57BC"/>
    <w:multiLevelType w:val="hybridMultilevel"/>
    <w:tmpl w:val="BA04C7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874BA"/>
    <w:multiLevelType w:val="hybridMultilevel"/>
    <w:tmpl w:val="1D84A3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111430"/>
    <w:multiLevelType w:val="hybridMultilevel"/>
    <w:tmpl w:val="51C08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B7646B"/>
    <w:multiLevelType w:val="hybridMultilevel"/>
    <w:tmpl w:val="57DC1B5C"/>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126D836"/>
    <w:multiLevelType w:val="hybridMultilevel"/>
    <w:tmpl w:val="9F32AE90"/>
    <w:lvl w:ilvl="0" w:tplc="74F2E2CA">
      <w:start w:val="1"/>
      <w:numFmt w:val="bullet"/>
      <w:lvlText w:val=""/>
      <w:lvlJc w:val="left"/>
      <w:pPr>
        <w:ind w:left="720" w:hanging="360"/>
      </w:pPr>
      <w:rPr>
        <w:rFonts w:ascii="Symbol" w:hAnsi="Symbol" w:hint="default"/>
      </w:rPr>
    </w:lvl>
    <w:lvl w:ilvl="1" w:tplc="F4F4F32A">
      <w:start w:val="1"/>
      <w:numFmt w:val="bullet"/>
      <w:lvlText w:val="o"/>
      <w:lvlJc w:val="left"/>
      <w:pPr>
        <w:ind w:left="1440" w:hanging="360"/>
      </w:pPr>
      <w:rPr>
        <w:rFonts w:ascii="Courier New" w:hAnsi="Courier New" w:hint="default"/>
      </w:rPr>
    </w:lvl>
    <w:lvl w:ilvl="2" w:tplc="4F144870">
      <w:start w:val="1"/>
      <w:numFmt w:val="bullet"/>
      <w:lvlText w:val=""/>
      <w:lvlJc w:val="left"/>
      <w:pPr>
        <w:ind w:left="2160" w:hanging="360"/>
      </w:pPr>
      <w:rPr>
        <w:rFonts w:ascii="Wingdings" w:hAnsi="Wingdings" w:hint="default"/>
      </w:rPr>
    </w:lvl>
    <w:lvl w:ilvl="3" w:tplc="6AF809AE">
      <w:start w:val="1"/>
      <w:numFmt w:val="bullet"/>
      <w:lvlText w:val=""/>
      <w:lvlJc w:val="left"/>
      <w:pPr>
        <w:ind w:left="2880" w:hanging="360"/>
      </w:pPr>
      <w:rPr>
        <w:rFonts w:ascii="Symbol" w:hAnsi="Symbol" w:hint="default"/>
      </w:rPr>
    </w:lvl>
    <w:lvl w:ilvl="4" w:tplc="BB74E0C4">
      <w:start w:val="1"/>
      <w:numFmt w:val="bullet"/>
      <w:lvlText w:val="o"/>
      <w:lvlJc w:val="left"/>
      <w:pPr>
        <w:ind w:left="3600" w:hanging="360"/>
      </w:pPr>
      <w:rPr>
        <w:rFonts w:ascii="Courier New" w:hAnsi="Courier New" w:hint="default"/>
      </w:rPr>
    </w:lvl>
    <w:lvl w:ilvl="5" w:tplc="4F4A45A8">
      <w:start w:val="1"/>
      <w:numFmt w:val="bullet"/>
      <w:lvlText w:val=""/>
      <w:lvlJc w:val="left"/>
      <w:pPr>
        <w:ind w:left="4320" w:hanging="360"/>
      </w:pPr>
      <w:rPr>
        <w:rFonts w:ascii="Wingdings" w:hAnsi="Wingdings" w:hint="default"/>
      </w:rPr>
    </w:lvl>
    <w:lvl w:ilvl="6" w:tplc="CCE4D836">
      <w:start w:val="1"/>
      <w:numFmt w:val="bullet"/>
      <w:lvlText w:val=""/>
      <w:lvlJc w:val="left"/>
      <w:pPr>
        <w:ind w:left="5040" w:hanging="360"/>
      </w:pPr>
      <w:rPr>
        <w:rFonts w:ascii="Symbol" w:hAnsi="Symbol" w:hint="default"/>
      </w:rPr>
    </w:lvl>
    <w:lvl w:ilvl="7" w:tplc="1E10C2D4">
      <w:start w:val="1"/>
      <w:numFmt w:val="bullet"/>
      <w:lvlText w:val="o"/>
      <w:lvlJc w:val="left"/>
      <w:pPr>
        <w:ind w:left="5760" w:hanging="360"/>
      </w:pPr>
      <w:rPr>
        <w:rFonts w:ascii="Courier New" w:hAnsi="Courier New" w:hint="default"/>
      </w:rPr>
    </w:lvl>
    <w:lvl w:ilvl="8" w:tplc="BFB8835C">
      <w:start w:val="1"/>
      <w:numFmt w:val="bullet"/>
      <w:lvlText w:val=""/>
      <w:lvlJc w:val="left"/>
      <w:pPr>
        <w:ind w:left="6480" w:hanging="360"/>
      </w:pPr>
      <w:rPr>
        <w:rFonts w:ascii="Wingdings" w:hAnsi="Wingdings" w:hint="default"/>
      </w:rPr>
    </w:lvl>
  </w:abstractNum>
  <w:abstractNum w:abstractNumId="11" w15:restartNumberingAfterBreak="0">
    <w:nsid w:val="513E7E34"/>
    <w:multiLevelType w:val="multilevel"/>
    <w:tmpl w:val="E1CAA1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EF22B3"/>
    <w:multiLevelType w:val="hybridMultilevel"/>
    <w:tmpl w:val="E77E503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2672F8"/>
    <w:multiLevelType w:val="hybridMultilevel"/>
    <w:tmpl w:val="DCF8AF3A"/>
    <w:lvl w:ilvl="0" w:tplc="E5464D02">
      <w:start w:val="1"/>
      <w:numFmt w:val="decimal"/>
      <w:lvlText w:val="%1."/>
      <w:lvlJc w:val="left"/>
      <w:pPr>
        <w:ind w:left="1080" w:hanging="360"/>
      </w:pPr>
      <w:rPr>
        <w:rFonts w:hint="default"/>
        <w:strike w:val="0"/>
      </w:rPr>
    </w:lvl>
    <w:lvl w:ilvl="1" w:tplc="08090019">
      <w:start w:val="1"/>
      <w:numFmt w:val="lowerLetter"/>
      <w:lvlText w:val="%2."/>
      <w:lvlJc w:val="left"/>
      <w:pPr>
        <w:ind w:left="1800" w:hanging="360"/>
      </w:pPr>
    </w:lvl>
    <w:lvl w:ilvl="2" w:tplc="1034221C">
      <w:start w:val="1"/>
      <w:numFmt w:val="lowerLetter"/>
      <w:lvlText w:val="(%3)"/>
      <w:lvlJc w:val="left"/>
      <w:pPr>
        <w:ind w:left="2960" w:hanging="6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353332"/>
    <w:multiLevelType w:val="multilevel"/>
    <w:tmpl w:val="753C1A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5FE5FC"/>
    <w:multiLevelType w:val="hybridMultilevel"/>
    <w:tmpl w:val="9DC413AA"/>
    <w:lvl w:ilvl="0" w:tplc="C912409E">
      <w:start w:val="1"/>
      <w:numFmt w:val="bullet"/>
      <w:lvlText w:val=""/>
      <w:lvlJc w:val="left"/>
      <w:pPr>
        <w:ind w:left="720" w:hanging="360"/>
      </w:pPr>
      <w:rPr>
        <w:rFonts w:ascii="Symbol" w:hAnsi="Symbol" w:hint="default"/>
      </w:rPr>
    </w:lvl>
    <w:lvl w:ilvl="1" w:tplc="687E075A">
      <w:start w:val="1"/>
      <w:numFmt w:val="bullet"/>
      <w:lvlText w:val="o"/>
      <w:lvlJc w:val="left"/>
      <w:pPr>
        <w:ind w:left="1440" w:hanging="360"/>
      </w:pPr>
      <w:rPr>
        <w:rFonts w:ascii="Courier New" w:hAnsi="Courier New" w:hint="default"/>
      </w:rPr>
    </w:lvl>
    <w:lvl w:ilvl="2" w:tplc="578278D4">
      <w:start w:val="1"/>
      <w:numFmt w:val="bullet"/>
      <w:lvlText w:val=""/>
      <w:lvlJc w:val="left"/>
      <w:pPr>
        <w:ind w:left="2160" w:hanging="360"/>
      </w:pPr>
      <w:rPr>
        <w:rFonts w:ascii="Wingdings" w:hAnsi="Wingdings" w:hint="default"/>
      </w:rPr>
    </w:lvl>
    <w:lvl w:ilvl="3" w:tplc="DEC4A612">
      <w:start w:val="1"/>
      <w:numFmt w:val="bullet"/>
      <w:lvlText w:val=""/>
      <w:lvlJc w:val="left"/>
      <w:pPr>
        <w:ind w:left="2880" w:hanging="360"/>
      </w:pPr>
      <w:rPr>
        <w:rFonts w:ascii="Symbol" w:hAnsi="Symbol" w:hint="default"/>
      </w:rPr>
    </w:lvl>
    <w:lvl w:ilvl="4" w:tplc="71F8D2F4">
      <w:start w:val="1"/>
      <w:numFmt w:val="bullet"/>
      <w:lvlText w:val="o"/>
      <w:lvlJc w:val="left"/>
      <w:pPr>
        <w:ind w:left="3600" w:hanging="360"/>
      </w:pPr>
      <w:rPr>
        <w:rFonts w:ascii="Courier New" w:hAnsi="Courier New" w:hint="default"/>
      </w:rPr>
    </w:lvl>
    <w:lvl w:ilvl="5" w:tplc="664C05A0">
      <w:start w:val="1"/>
      <w:numFmt w:val="bullet"/>
      <w:lvlText w:val=""/>
      <w:lvlJc w:val="left"/>
      <w:pPr>
        <w:ind w:left="4320" w:hanging="360"/>
      </w:pPr>
      <w:rPr>
        <w:rFonts w:ascii="Wingdings" w:hAnsi="Wingdings" w:hint="default"/>
      </w:rPr>
    </w:lvl>
    <w:lvl w:ilvl="6" w:tplc="4464FC76">
      <w:start w:val="1"/>
      <w:numFmt w:val="bullet"/>
      <w:lvlText w:val=""/>
      <w:lvlJc w:val="left"/>
      <w:pPr>
        <w:ind w:left="5040" w:hanging="360"/>
      </w:pPr>
      <w:rPr>
        <w:rFonts w:ascii="Symbol" w:hAnsi="Symbol" w:hint="default"/>
      </w:rPr>
    </w:lvl>
    <w:lvl w:ilvl="7" w:tplc="CFBE4CAC">
      <w:start w:val="1"/>
      <w:numFmt w:val="bullet"/>
      <w:lvlText w:val="o"/>
      <w:lvlJc w:val="left"/>
      <w:pPr>
        <w:ind w:left="5760" w:hanging="360"/>
      </w:pPr>
      <w:rPr>
        <w:rFonts w:ascii="Courier New" w:hAnsi="Courier New" w:hint="default"/>
      </w:rPr>
    </w:lvl>
    <w:lvl w:ilvl="8" w:tplc="E8802E52">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0"/>
  </w:num>
  <w:num w:numId="4">
    <w:abstractNumId w:val="2"/>
  </w:num>
  <w:num w:numId="5">
    <w:abstractNumId w:val="1"/>
  </w:num>
  <w:num w:numId="6">
    <w:abstractNumId w:val="14"/>
  </w:num>
  <w:num w:numId="7">
    <w:abstractNumId w:val="3"/>
  </w:num>
  <w:num w:numId="8">
    <w:abstractNumId w:val="11"/>
  </w:num>
  <w:num w:numId="9">
    <w:abstractNumId w:val="8"/>
  </w:num>
  <w:num w:numId="10">
    <w:abstractNumId w:val="9"/>
  </w:num>
  <w:num w:numId="11">
    <w:abstractNumId w:val="9"/>
  </w:num>
  <w:num w:numId="12">
    <w:abstractNumId w:val="6"/>
  </w:num>
  <w:num w:numId="13">
    <w:abstractNumId w:val="13"/>
  </w:num>
  <w:num w:numId="14">
    <w:abstractNumId w:val="12"/>
  </w:num>
  <w:num w:numId="15">
    <w:abstractNumId w:val="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54AA75"/>
    <w:rsid w:val="00017D62"/>
    <w:rsid w:val="00022098"/>
    <w:rsid w:val="00041E7F"/>
    <w:rsid w:val="00043BCE"/>
    <w:rsid w:val="00056321"/>
    <w:rsid w:val="000749BC"/>
    <w:rsid w:val="00074A33"/>
    <w:rsid w:val="000B4278"/>
    <w:rsid w:val="000C66DF"/>
    <w:rsid w:val="000D4D37"/>
    <w:rsid w:val="000E0D1E"/>
    <w:rsid w:val="000E486D"/>
    <w:rsid w:val="00113EE7"/>
    <w:rsid w:val="001175F2"/>
    <w:rsid w:val="00121E38"/>
    <w:rsid w:val="00170F6D"/>
    <w:rsid w:val="001A0C26"/>
    <w:rsid w:val="001A0F9D"/>
    <w:rsid w:val="001A67E3"/>
    <w:rsid w:val="001D4346"/>
    <w:rsid w:val="001F7AFE"/>
    <w:rsid w:val="00200A0F"/>
    <w:rsid w:val="0021476D"/>
    <w:rsid w:val="00233E84"/>
    <w:rsid w:val="002370EF"/>
    <w:rsid w:val="002429CD"/>
    <w:rsid w:val="0025144E"/>
    <w:rsid w:val="00264C11"/>
    <w:rsid w:val="00267DAE"/>
    <w:rsid w:val="002766AE"/>
    <w:rsid w:val="00276FD3"/>
    <w:rsid w:val="002B31E9"/>
    <w:rsid w:val="002D2B98"/>
    <w:rsid w:val="002E3363"/>
    <w:rsid w:val="00316215"/>
    <w:rsid w:val="00343153"/>
    <w:rsid w:val="00356C89"/>
    <w:rsid w:val="00371F51"/>
    <w:rsid w:val="0037382E"/>
    <w:rsid w:val="00386666"/>
    <w:rsid w:val="00391C86"/>
    <w:rsid w:val="003C4031"/>
    <w:rsid w:val="003F527D"/>
    <w:rsid w:val="003F6553"/>
    <w:rsid w:val="00411359"/>
    <w:rsid w:val="0044371B"/>
    <w:rsid w:val="004B345B"/>
    <w:rsid w:val="004B5C05"/>
    <w:rsid w:val="004D051E"/>
    <w:rsid w:val="004F4273"/>
    <w:rsid w:val="00504302"/>
    <w:rsid w:val="00505F5B"/>
    <w:rsid w:val="00515857"/>
    <w:rsid w:val="00522577"/>
    <w:rsid w:val="00523B34"/>
    <w:rsid w:val="00524D18"/>
    <w:rsid w:val="00536367"/>
    <w:rsid w:val="00543835"/>
    <w:rsid w:val="00580F1F"/>
    <w:rsid w:val="005A400A"/>
    <w:rsid w:val="005C11EF"/>
    <w:rsid w:val="005D28AB"/>
    <w:rsid w:val="005D7EA6"/>
    <w:rsid w:val="005F1D93"/>
    <w:rsid w:val="00607F50"/>
    <w:rsid w:val="00610ADB"/>
    <w:rsid w:val="0063444A"/>
    <w:rsid w:val="00645D52"/>
    <w:rsid w:val="0066395F"/>
    <w:rsid w:val="00691BEC"/>
    <w:rsid w:val="006B21A4"/>
    <w:rsid w:val="006C0574"/>
    <w:rsid w:val="006E4AC4"/>
    <w:rsid w:val="00702092"/>
    <w:rsid w:val="007055BA"/>
    <w:rsid w:val="00717A52"/>
    <w:rsid w:val="00732625"/>
    <w:rsid w:val="00734F0E"/>
    <w:rsid w:val="007503C1"/>
    <w:rsid w:val="00766A53"/>
    <w:rsid w:val="00770271"/>
    <w:rsid w:val="0078008D"/>
    <w:rsid w:val="00784032"/>
    <w:rsid w:val="007908BA"/>
    <w:rsid w:val="007D0E42"/>
    <w:rsid w:val="007D7024"/>
    <w:rsid w:val="00814236"/>
    <w:rsid w:val="00830186"/>
    <w:rsid w:val="008311E6"/>
    <w:rsid w:val="00852A63"/>
    <w:rsid w:val="008659B1"/>
    <w:rsid w:val="0087148E"/>
    <w:rsid w:val="00894401"/>
    <w:rsid w:val="008A574B"/>
    <w:rsid w:val="008C4E55"/>
    <w:rsid w:val="008D0CAC"/>
    <w:rsid w:val="00915116"/>
    <w:rsid w:val="00917B3C"/>
    <w:rsid w:val="0092088A"/>
    <w:rsid w:val="0092467E"/>
    <w:rsid w:val="00934E76"/>
    <w:rsid w:val="0096025E"/>
    <w:rsid w:val="0096443E"/>
    <w:rsid w:val="0096633B"/>
    <w:rsid w:val="009921D3"/>
    <w:rsid w:val="009B0F0F"/>
    <w:rsid w:val="009C2BEE"/>
    <w:rsid w:val="009F4662"/>
    <w:rsid w:val="009F5393"/>
    <w:rsid w:val="00A11315"/>
    <w:rsid w:val="00A13C5B"/>
    <w:rsid w:val="00A30F15"/>
    <w:rsid w:val="00A32B34"/>
    <w:rsid w:val="00A367A1"/>
    <w:rsid w:val="00A51C99"/>
    <w:rsid w:val="00A560C2"/>
    <w:rsid w:val="00A66CB4"/>
    <w:rsid w:val="00A66F66"/>
    <w:rsid w:val="00A94445"/>
    <w:rsid w:val="00AA60E9"/>
    <w:rsid w:val="00AB0ED4"/>
    <w:rsid w:val="00B0285D"/>
    <w:rsid w:val="00B16324"/>
    <w:rsid w:val="00B20564"/>
    <w:rsid w:val="00B2334F"/>
    <w:rsid w:val="00B33D1F"/>
    <w:rsid w:val="00B4125D"/>
    <w:rsid w:val="00B43FAE"/>
    <w:rsid w:val="00B65C19"/>
    <w:rsid w:val="00B70880"/>
    <w:rsid w:val="00B72939"/>
    <w:rsid w:val="00B874D2"/>
    <w:rsid w:val="00BA1A1C"/>
    <w:rsid w:val="00BA365C"/>
    <w:rsid w:val="00BA53D9"/>
    <w:rsid w:val="00BE29E5"/>
    <w:rsid w:val="00BE2B42"/>
    <w:rsid w:val="00C116AE"/>
    <w:rsid w:val="00C42CDB"/>
    <w:rsid w:val="00C65CE5"/>
    <w:rsid w:val="00C77E96"/>
    <w:rsid w:val="00C959A3"/>
    <w:rsid w:val="00CA1CC3"/>
    <w:rsid w:val="00CC3F31"/>
    <w:rsid w:val="00CD66D7"/>
    <w:rsid w:val="00CD673F"/>
    <w:rsid w:val="00CF31E7"/>
    <w:rsid w:val="00D3070A"/>
    <w:rsid w:val="00D32FD2"/>
    <w:rsid w:val="00D436A3"/>
    <w:rsid w:val="00D45D28"/>
    <w:rsid w:val="00D54918"/>
    <w:rsid w:val="00D61F51"/>
    <w:rsid w:val="00D63873"/>
    <w:rsid w:val="00D8048A"/>
    <w:rsid w:val="00D8311C"/>
    <w:rsid w:val="00DA6349"/>
    <w:rsid w:val="00DB08C7"/>
    <w:rsid w:val="00DC47DB"/>
    <w:rsid w:val="00DD04A8"/>
    <w:rsid w:val="00DD328B"/>
    <w:rsid w:val="00DD32D2"/>
    <w:rsid w:val="00DE4E7E"/>
    <w:rsid w:val="00E0292C"/>
    <w:rsid w:val="00E124FF"/>
    <w:rsid w:val="00E21A10"/>
    <w:rsid w:val="00E45188"/>
    <w:rsid w:val="00E500D7"/>
    <w:rsid w:val="00E668CC"/>
    <w:rsid w:val="00E84317"/>
    <w:rsid w:val="00EA431B"/>
    <w:rsid w:val="00ED3F51"/>
    <w:rsid w:val="00EF3BD8"/>
    <w:rsid w:val="00EF5E21"/>
    <w:rsid w:val="00F05768"/>
    <w:rsid w:val="00F25CBE"/>
    <w:rsid w:val="00F35942"/>
    <w:rsid w:val="00F502F1"/>
    <w:rsid w:val="00F57639"/>
    <w:rsid w:val="00F81A9D"/>
    <w:rsid w:val="00FA000C"/>
    <w:rsid w:val="00FA1288"/>
    <w:rsid w:val="00FD5964"/>
    <w:rsid w:val="00FE22A0"/>
    <w:rsid w:val="00FE4DE7"/>
    <w:rsid w:val="01463605"/>
    <w:rsid w:val="0313CEB8"/>
    <w:rsid w:val="03BC73C5"/>
    <w:rsid w:val="0402241B"/>
    <w:rsid w:val="04F1F829"/>
    <w:rsid w:val="05B40DEF"/>
    <w:rsid w:val="05E24C3B"/>
    <w:rsid w:val="06946F22"/>
    <w:rsid w:val="08E15D38"/>
    <w:rsid w:val="0A4E32AA"/>
    <w:rsid w:val="0AA8A836"/>
    <w:rsid w:val="0B4CF931"/>
    <w:rsid w:val="0BF978BE"/>
    <w:rsid w:val="0C299D25"/>
    <w:rsid w:val="0CC2CD49"/>
    <w:rsid w:val="0CF3C2EA"/>
    <w:rsid w:val="0E75273E"/>
    <w:rsid w:val="0E877FED"/>
    <w:rsid w:val="0EF91239"/>
    <w:rsid w:val="0F62D5DD"/>
    <w:rsid w:val="0F9BD25F"/>
    <w:rsid w:val="0FD84033"/>
    <w:rsid w:val="100690EC"/>
    <w:rsid w:val="10B9EC81"/>
    <w:rsid w:val="10F7258A"/>
    <w:rsid w:val="117632C5"/>
    <w:rsid w:val="11A46E09"/>
    <w:rsid w:val="123A04D0"/>
    <w:rsid w:val="13B40169"/>
    <w:rsid w:val="13E0B007"/>
    <w:rsid w:val="13ED2C6E"/>
    <w:rsid w:val="13F50591"/>
    <w:rsid w:val="13F5FC0A"/>
    <w:rsid w:val="142A9447"/>
    <w:rsid w:val="14DDCBF7"/>
    <w:rsid w:val="16D6DB7C"/>
    <w:rsid w:val="174A65CB"/>
    <w:rsid w:val="17B52FAE"/>
    <w:rsid w:val="17EDCF4C"/>
    <w:rsid w:val="19451A05"/>
    <w:rsid w:val="19D2B6D4"/>
    <w:rsid w:val="1A8B10F2"/>
    <w:rsid w:val="1AD99FD2"/>
    <w:rsid w:val="1BF07FCE"/>
    <w:rsid w:val="1DD5C384"/>
    <w:rsid w:val="1EADEAEF"/>
    <w:rsid w:val="20185DC1"/>
    <w:rsid w:val="206E647B"/>
    <w:rsid w:val="20BA6FC3"/>
    <w:rsid w:val="20EDE777"/>
    <w:rsid w:val="211EA755"/>
    <w:rsid w:val="2200643C"/>
    <w:rsid w:val="2259E0DB"/>
    <w:rsid w:val="226F3843"/>
    <w:rsid w:val="22C9F6AF"/>
    <w:rsid w:val="2367A27D"/>
    <w:rsid w:val="23AA1E3C"/>
    <w:rsid w:val="23DFB517"/>
    <w:rsid w:val="2454AA75"/>
    <w:rsid w:val="246F5986"/>
    <w:rsid w:val="257DB660"/>
    <w:rsid w:val="258C2210"/>
    <w:rsid w:val="25AFBA05"/>
    <w:rsid w:val="269E9536"/>
    <w:rsid w:val="27B2D0A5"/>
    <w:rsid w:val="27DDC9E4"/>
    <w:rsid w:val="284F0EEA"/>
    <w:rsid w:val="2AD1797E"/>
    <w:rsid w:val="2B505B23"/>
    <w:rsid w:val="2CC57E49"/>
    <w:rsid w:val="2D92BC1C"/>
    <w:rsid w:val="2E735DFB"/>
    <w:rsid w:val="2E8D1221"/>
    <w:rsid w:val="3086E568"/>
    <w:rsid w:val="31E76FF4"/>
    <w:rsid w:val="329963F1"/>
    <w:rsid w:val="330C8AEC"/>
    <w:rsid w:val="3335D881"/>
    <w:rsid w:val="3364F216"/>
    <w:rsid w:val="34B721B8"/>
    <w:rsid w:val="34B7D0C0"/>
    <w:rsid w:val="34D594FD"/>
    <w:rsid w:val="3655628A"/>
    <w:rsid w:val="37909C26"/>
    <w:rsid w:val="3793F0D9"/>
    <w:rsid w:val="37C90914"/>
    <w:rsid w:val="37C97D49"/>
    <w:rsid w:val="37D4D1B7"/>
    <w:rsid w:val="38A34C9B"/>
    <w:rsid w:val="38AA6FF2"/>
    <w:rsid w:val="396D2BDE"/>
    <w:rsid w:val="39795C24"/>
    <w:rsid w:val="398C876A"/>
    <w:rsid w:val="3A3F5785"/>
    <w:rsid w:val="3A534D8F"/>
    <w:rsid w:val="3AC36215"/>
    <w:rsid w:val="3B2E0DBA"/>
    <w:rsid w:val="3C0F0DE5"/>
    <w:rsid w:val="3C5A35B1"/>
    <w:rsid w:val="3C9FA664"/>
    <w:rsid w:val="3CF5883D"/>
    <w:rsid w:val="3E54AEDE"/>
    <w:rsid w:val="3E89F646"/>
    <w:rsid w:val="3F2F4390"/>
    <w:rsid w:val="3F50C907"/>
    <w:rsid w:val="4227BA0E"/>
    <w:rsid w:val="4252E0F4"/>
    <w:rsid w:val="440D0ADF"/>
    <w:rsid w:val="44E1C2B9"/>
    <w:rsid w:val="44E5F477"/>
    <w:rsid w:val="459DFF81"/>
    <w:rsid w:val="463831A3"/>
    <w:rsid w:val="46665EE6"/>
    <w:rsid w:val="472E8874"/>
    <w:rsid w:val="473E9F6B"/>
    <w:rsid w:val="4753FBDD"/>
    <w:rsid w:val="47D85213"/>
    <w:rsid w:val="48FD7DCB"/>
    <w:rsid w:val="4B231348"/>
    <w:rsid w:val="4B305CFD"/>
    <w:rsid w:val="4BE17231"/>
    <w:rsid w:val="4C087731"/>
    <w:rsid w:val="4C6FDC8D"/>
    <w:rsid w:val="4D0E7B99"/>
    <w:rsid w:val="4D20D513"/>
    <w:rsid w:val="4E994A83"/>
    <w:rsid w:val="504CF275"/>
    <w:rsid w:val="5090B7F5"/>
    <w:rsid w:val="50A4D807"/>
    <w:rsid w:val="50AA09D4"/>
    <w:rsid w:val="50C6F000"/>
    <w:rsid w:val="52402160"/>
    <w:rsid w:val="53DF9FDD"/>
    <w:rsid w:val="547070AF"/>
    <w:rsid w:val="562E69D5"/>
    <w:rsid w:val="56A754F0"/>
    <w:rsid w:val="5718BC1B"/>
    <w:rsid w:val="57532DC4"/>
    <w:rsid w:val="57956043"/>
    <w:rsid w:val="586F53A2"/>
    <w:rsid w:val="59474FE2"/>
    <w:rsid w:val="596FEA14"/>
    <w:rsid w:val="5BB2E8BF"/>
    <w:rsid w:val="5BDA5AE2"/>
    <w:rsid w:val="5D32FD2E"/>
    <w:rsid w:val="5D40C045"/>
    <w:rsid w:val="5EE2F3AB"/>
    <w:rsid w:val="5F7A20C9"/>
    <w:rsid w:val="6008D6D9"/>
    <w:rsid w:val="6013E5CC"/>
    <w:rsid w:val="60517DD9"/>
    <w:rsid w:val="60996E76"/>
    <w:rsid w:val="60AE8530"/>
    <w:rsid w:val="60F7A884"/>
    <w:rsid w:val="618CEACF"/>
    <w:rsid w:val="6202CAE0"/>
    <w:rsid w:val="622F0B0E"/>
    <w:rsid w:val="62744977"/>
    <w:rsid w:val="63177C20"/>
    <w:rsid w:val="638ED046"/>
    <w:rsid w:val="63DF0658"/>
    <w:rsid w:val="6832A4A9"/>
    <w:rsid w:val="694E9023"/>
    <w:rsid w:val="698D12BC"/>
    <w:rsid w:val="6A34F8CA"/>
    <w:rsid w:val="6AC5BC03"/>
    <w:rsid w:val="6BCD80F4"/>
    <w:rsid w:val="6C922D04"/>
    <w:rsid w:val="6D13EFC2"/>
    <w:rsid w:val="6D5CA0D0"/>
    <w:rsid w:val="6DCE679F"/>
    <w:rsid w:val="6E02F1F1"/>
    <w:rsid w:val="6E93860D"/>
    <w:rsid w:val="6EFF2732"/>
    <w:rsid w:val="7032E35D"/>
    <w:rsid w:val="70E994B2"/>
    <w:rsid w:val="71123AC9"/>
    <w:rsid w:val="7137C59B"/>
    <w:rsid w:val="7273AE4A"/>
    <w:rsid w:val="73830243"/>
    <w:rsid w:val="739F4C60"/>
    <w:rsid w:val="73A11308"/>
    <w:rsid w:val="747FC111"/>
    <w:rsid w:val="75664734"/>
    <w:rsid w:val="75D9C026"/>
    <w:rsid w:val="76079EDB"/>
    <w:rsid w:val="76F93DA5"/>
    <w:rsid w:val="7700E2DE"/>
    <w:rsid w:val="77837C32"/>
    <w:rsid w:val="77DDD903"/>
    <w:rsid w:val="782992FC"/>
    <w:rsid w:val="7863DA5E"/>
    <w:rsid w:val="792CDE3E"/>
    <w:rsid w:val="79BA443F"/>
    <w:rsid w:val="7A4B8480"/>
    <w:rsid w:val="7AC4A0F1"/>
    <w:rsid w:val="7BEAC004"/>
    <w:rsid w:val="7C377927"/>
    <w:rsid w:val="7CA2570E"/>
    <w:rsid w:val="7D2D8624"/>
    <w:rsid w:val="7D5F684F"/>
    <w:rsid w:val="7DDA751B"/>
    <w:rsid w:val="7E048649"/>
    <w:rsid w:val="7F78E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FD2D"/>
  <w15:chartTrackingRefBased/>
  <w15:docId w15:val="{359F2A18-5072-4E2E-8271-2DD0E3CF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E02F1F1"/>
    <w:pPr>
      <w:ind w:left="720"/>
      <w:contextualSpacing/>
    </w:pPr>
  </w:style>
  <w:style w:type="character" w:styleId="Hyperlink">
    <w:name w:val="Hyperlink"/>
    <w:basedOn w:val="DefaultParagraphFont"/>
    <w:uiPriority w:val="99"/>
    <w:unhideWhenUsed/>
    <w:rsid w:val="00894401"/>
    <w:rPr>
      <w:color w:val="467886" w:themeColor="hyperlink"/>
      <w:u w:val="single"/>
    </w:rPr>
  </w:style>
  <w:style w:type="character" w:styleId="UnresolvedMention">
    <w:name w:val="Unresolved Mention"/>
    <w:basedOn w:val="DefaultParagraphFont"/>
    <w:uiPriority w:val="99"/>
    <w:semiHidden/>
    <w:unhideWhenUsed/>
    <w:rsid w:val="00894401"/>
    <w:rPr>
      <w:color w:val="605E5C"/>
      <w:shd w:val="clear" w:color="auto" w:fill="E1DFDD"/>
    </w:rPr>
  </w:style>
  <w:style w:type="paragraph" w:customStyle="1" w:styleId="paragraph">
    <w:name w:val="paragraph"/>
    <w:basedOn w:val="Normal"/>
    <w:rsid w:val="00121E3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21E38"/>
  </w:style>
  <w:style w:type="character" w:customStyle="1" w:styleId="superscript">
    <w:name w:val="superscript"/>
    <w:basedOn w:val="DefaultParagraphFont"/>
    <w:rsid w:val="00121E38"/>
  </w:style>
  <w:style w:type="character" w:customStyle="1" w:styleId="eop">
    <w:name w:val="eop"/>
    <w:basedOn w:val="DefaultParagraphFont"/>
    <w:rsid w:val="00121E38"/>
  </w:style>
  <w:style w:type="paragraph" w:styleId="EndnoteText">
    <w:name w:val="endnote text"/>
    <w:basedOn w:val="Normal"/>
    <w:link w:val="EndnoteTextChar"/>
    <w:uiPriority w:val="99"/>
    <w:semiHidden/>
    <w:unhideWhenUsed/>
    <w:rsid w:val="00D436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36A3"/>
    <w:rPr>
      <w:sz w:val="20"/>
      <w:szCs w:val="20"/>
    </w:rPr>
  </w:style>
  <w:style w:type="character" w:styleId="EndnoteReference">
    <w:name w:val="endnote reference"/>
    <w:basedOn w:val="DefaultParagraphFont"/>
    <w:uiPriority w:val="99"/>
    <w:semiHidden/>
    <w:unhideWhenUsed/>
    <w:rsid w:val="00D436A3"/>
    <w:rPr>
      <w:vertAlign w:val="superscript"/>
    </w:rPr>
  </w:style>
  <w:style w:type="paragraph" w:styleId="FootnoteText">
    <w:name w:val="footnote text"/>
    <w:basedOn w:val="Normal"/>
    <w:link w:val="FootnoteTextChar"/>
    <w:uiPriority w:val="99"/>
    <w:semiHidden/>
    <w:unhideWhenUsed/>
    <w:rsid w:val="00D54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918"/>
    <w:rPr>
      <w:sz w:val="20"/>
      <w:szCs w:val="20"/>
    </w:rPr>
  </w:style>
  <w:style w:type="character" w:styleId="FootnoteReference">
    <w:name w:val="footnote reference"/>
    <w:basedOn w:val="DefaultParagraphFont"/>
    <w:uiPriority w:val="99"/>
    <w:semiHidden/>
    <w:unhideWhenUsed/>
    <w:rsid w:val="00D54918"/>
    <w:rPr>
      <w:vertAlign w:val="superscript"/>
    </w:rPr>
  </w:style>
  <w:style w:type="paragraph" w:styleId="Header">
    <w:name w:val="header"/>
    <w:basedOn w:val="Normal"/>
    <w:link w:val="HeaderChar"/>
    <w:uiPriority w:val="99"/>
    <w:unhideWhenUsed/>
    <w:rsid w:val="00702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092"/>
  </w:style>
  <w:style w:type="paragraph" w:styleId="Footer">
    <w:name w:val="footer"/>
    <w:basedOn w:val="Normal"/>
    <w:link w:val="FooterChar"/>
    <w:uiPriority w:val="99"/>
    <w:unhideWhenUsed/>
    <w:rsid w:val="00702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1044">
      <w:bodyDiv w:val="1"/>
      <w:marLeft w:val="0"/>
      <w:marRight w:val="0"/>
      <w:marTop w:val="0"/>
      <w:marBottom w:val="0"/>
      <w:divBdr>
        <w:top w:val="none" w:sz="0" w:space="0" w:color="auto"/>
        <w:left w:val="none" w:sz="0" w:space="0" w:color="auto"/>
        <w:bottom w:val="none" w:sz="0" w:space="0" w:color="auto"/>
        <w:right w:val="none" w:sz="0" w:space="0" w:color="auto"/>
      </w:divBdr>
    </w:div>
    <w:div w:id="212350743">
      <w:bodyDiv w:val="1"/>
      <w:marLeft w:val="0"/>
      <w:marRight w:val="0"/>
      <w:marTop w:val="0"/>
      <w:marBottom w:val="0"/>
      <w:divBdr>
        <w:top w:val="none" w:sz="0" w:space="0" w:color="auto"/>
        <w:left w:val="none" w:sz="0" w:space="0" w:color="auto"/>
        <w:bottom w:val="none" w:sz="0" w:space="0" w:color="auto"/>
        <w:right w:val="none" w:sz="0" w:space="0" w:color="auto"/>
      </w:divBdr>
    </w:div>
    <w:div w:id="214969557">
      <w:bodyDiv w:val="1"/>
      <w:marLeft w:val="0"/>
      <w:marRight w:val="0"/>
      <w:marTop w:val="0"/>
      <w:marBottom w:val="0"/>
      <w:divBdr>
        <w:top w:val="none" w:sz="0" w:space="0" w:color="auto"/>
        <w:left w:val="none" w:sz="0" w:space="0" w:color="auto"/>
        <w:bottom w:val="none" w:sz="0" w:space="0" w:color="auto"/>
        <w:right w:val="none" w:sz="0" w:space="0" w:color="auto"/>
      </w:divBdr>
      <w:divsChild>
        <w:div w:id="847015426">
          <w:marLeft w:val="0"/>
          <w:marRight w:val="0"/>
          <w:marTop w:val="0"/>
          <w:marBottom w:val="0"/>
          <w:divBdr>
            <w:top w:val="none" w:sz="0" w:space="0" w:color="auto"/>
            <w:left w:val="none" w:sz="0" w:space="0" w:color="auto"/>
            <w:bottom w:val="none" w:sz="0" w:space="0" w:color="auto"/>
            <w:right w:val="none" w:sz="0" w:space="0" w:color="auto"/>
          </w:divBdr>
        </w:div>
        <w:div w:id="430780756">
          <w:marLeft w:val="0"/>
          <w:marRight w:val="0"/>
          <w:marTop w:val="0"/>
          <w:marBottom w:val="0"/>
          <w:divBdr>
            <w:top w:val="none" w:sz="0" w:space="0" w:color="auto"/>
            <w:left w:val="none" w:sz="0" w:space="0" w:color="auto"/>
            <w:bottom w:val="none" w:sz="0" w:space="0" w:color="auto"/>
            <w:right w:val="none" w:sz="0" w:space="0" w:color="auto"/>
          </w:divBdr>
        </w:div>
      </w:divsChild>
    </w:div>
    <w:div w:id="296449514">
      <w:bodyDiv w:val="1"/>
      <w:marLeft w:val="0"/>
      <w:marRight w:val="0"/>
      <w:marTop w:val="0"/>
      <w:marBottom w:val="0"/>
      <w:divBdr>
        <w:top w:val="none" w:sz="0" w:space="0" w:color="auto"/>
        <w:left w:val="none" w:sz="0" w:space="0" w:color="auto"/>
        <w:bottom w:val="none" w:sz="0" w:space="0" w:color="auto"/>
        <w:right w:val="none" w:sz="0" w:space="0" w:color="auto"/>
      </w:divBdr>
    </w:div>
    <w:div w:id="311065783">
      <w:bodyDiv w:val="1"/>
      <w:marLeft w:val="0"/>
      <w:marRight w:val="0"/>
      <w:marTop w:val="0"/>
      <w:marBottom w:val="0"/>
      <w:divBdr>
        <w:top w:val="none" w:sz="0" w:space="0" w:color="auto"/>
        <w:left w:val="none" w:sz="0" w:space="0" w:color="auto"/>
        <w:bottom w:val="none" w:sz="0" w:space="0" w:color="auto"/>
        <w:right w:val="none" w:sz="0" w:space="0" w:color="auto"/>
      </w:divBdr>
    </w:div>
    <w:div w:id="312299962">
      <w:bodyDiv w:val="1"/>
      <w:marLeft w:val="0"/>
      <w:marRight w:val="0"/>
      <w:marTop w:val="0"/>
      <w:marBottom w:val="0"/>
      <w:divBdr>
        <w:top w:val="none" w:sz="0" w:space="0" w:color="auto"/>
        <w:left w:val="none" w:sz="0" w:space="0" w:color="auto"/>
        <w:bottom w:val="none" w:sz="0" w:space="0" w:color="auto"/>
        <w:right w:val="none" w:sz="0" w:space="0" w:color="auto"/>
      </w:divBdr>
    </w:div>
    <w:div w:id="539130421">
      <w:bodyDiv w:val="1"/>
      <w:marLeft w:val="0"/>
      <w:marRight w:val="0"/>
      <w:marTop w:val="0"/>
      <w:marBottom w:val="0"/>
      <w:divBdr>
        <w:top w:val="none" w:sz="0" w:space="0" w:color="auto"/>
        <w:left w:val="none" w:sz="0" w:space="0" w:color="auto"/>
        <w:bottom w:val="none" w:sz="0" w:space="0" w:color="auto"/>
        <w:right w:val="none" w:sz="0" w:space="0" w:color="auto"/>
      </w:divBdr>
    </w:div>
    <w:div w:id="561723063">
      <w:bodyDiv w:val="1"/>
      <w:marLeft w:val="0"/>
      <w:marRight w:val="0"/>
      <w:marTop w:val="0"/>
      <w:marBottom w:val="0"/>
      <w:divBdr>
        <w:top w:val="none" w:sz="0" w:space="0" w:color="auto"/>
        <w:left w:val="none" w:sz="0" w:space="0" w:color="auto"/>
        <w:bottom w:val="none" w:sz="0" w:space="0" w:color="auto"/>
        <w:right w:val="none" w:sz="0" w:space="0" w:color="auto"/>
      </w:divBdr>
    </w:div>
    <w:div w:id="606540340">
      <w:bodyDiv w:val="1"/>
      <w:marLeft w:val="0"/>
      <w:marRight w:val="0"/>
      <w:marTop w:val="0"/>
      <w:marBottom w:val="0"/>
      <w:divBdr>
        <w:top w:val="none" w:sz="0" w:space="0" w:color="auto"/>
        <w:left w:val="none" w:sz="0" w:space="0" w:color="auto"/>
        <w:bottom w:val="none" w:sz="0" w:space="0" w:color="auto"/>
        <w:right w:val="none" w:sz="0" w:space="0" w:color="auto"/>
      </w:divBdr>
      <w:divsChild>
        <w:div w:id="1487087694">
          <w:marLeft w:val="0"/>
          <w:marRight w:val="0"/>
          <w:marTop w:val="0"/>
          <w:marBottom w:val="0"/>
          <w:divBdr>
            <w:top w:val="none" w:sz="0" w:space="0" w:color="auto"/>
            <w:left w:val="none" w:sz="0" w:space="0" w:color="auto"/>
            <w:bottom w:val="none" w:sz="0" w:space="0" w:color="auto"/>
            <w:right w:val="none" w:sz="0" w:space="0" w:color="auto"/>
          </w:divBdr>
        </w:div>
        <w:div w:id="434130310">
          <w:marLeft w:val="0"/>
          <w:marRight w:val="0"/>
          <w:marTop w:val="0"/>
          <w:marBottom w:val="0"/>
          <w:divBdr>
            <w:top w:val="none" w:sz="0" w:space="0" w:color="auto"/>
            <w:left w:val="none" w:sz="0" w:space="0" w:color="auto"/>
            <w:bottom w:val="none" w:sz="0" w:space="0" w:color="auto"/>
            <w:right w:val="none" w:sz="0" w:space="0" w:color="auto"/>
          </w:divBdr>
        </w:div>
      </w:divsChild>
    </w:div>
    <w:div w:id="1130246974">
      <w:bodyDiv w:val="1"/>
      <w:marLeft w:val="0"/>
      <w:marRight w:val="0"/>
      <w:marTop w:val="0"/>
      <w:marBottom w:val="0"/>
      <w:divBdr>
        <w:top w:val="none" w:sz="0" w:space="0" w:color="auto"/>
        <w:left w:val="none" w:sz="0" w:space="0" w:color="auto"/>
        <w:bottom w:val="none" w:sz="0" w:space="0" w:color="auto"/>
        <w:right w:val="none" w:sz="0" w:space="0" w:color="auto"/>
      </w:divBdr>
    </w:div>
    <w:div w:id="1201817688">
      <w:bodyDiv w:val="1"/>
      <w:marLeft w:val="0"/>
      <w:marRight w:val="0"/>
      <w:marTop w:val="0"/>
      <w:marBottom w:val="0"/>
      <w:divBdr>
        <w:top w:val="none" w:sz="0" w:space="0" w:color="auto"/>
        <w:left w:val="none" w:sz="0" w:space="0" w:color="auto"/>
        <w:bottom w:val="none" w:sz="0" w:space="0" w:color="auto"/>
        <w:right w:val="none" w:sz="0" w:space="0" w:color="auto"/>
      </w:divBdr>
    </w:div>
    <w:div w:id="1225021079">
      <w:bodyDiv w:val="1"/>
      <w:marLeft w:val="0"/>
      <w:marRight w:val="0"/>
      <w:marTop w:val="0"/>
      <w:marBottom w:val="0"/>
      <w:divBdr>
        <w:top w:val="none" w:sz="0" w:space="0" w:color="auto"/>
        <w:left w:val="none" w:sz="0" w:space="0" w:color="auto"/>
        <w:bottom w:val="none" w:sz="0" w:space="0" w:color="auto"/>
        <w:right w:val="none" w:sz="0" w:space="0" w:color="auto"/>
      </w:divBdr>
      <w:divsChild>
        <w:div w:id="1529181856">
          <w:marLeft w:val="0"/>
          <w:marRight w:val="0"/>
          <w:marTop w:val="0"/>
          <w:marBottom w:val="0"/>
          <w:divBdr>
            <w:top w:val="none" w:sz="0" w:space="0" w:color="auto"/>
            <w:left w:val="none" w:sz="0" w:space="0" w:color="auto"/>
            <w:bottom w:val="none" w:sz="0" w:space="0" w:color="auto"/>
            <w:right w:val="none" w:sz="0" w:space="0" w:color="auto"/>
          </w:divBdr>
        </w:div>
        <w:div w:id="1575551648">
          <w:marLeft w:val="0"/>
          <w:marRight w:val="0"/>
          <w:marTop w:val="0"/>
          <w:marBottom w:val="0"/>
          <w:divBdr>
            <w:top w:val="none" w:sz="0" w:space="0" w:color="auto"/>
            <w:left w:val="none" w:sz="0" w:space="0" w:color="auto"/>
            <w:bottom w:val="none" w:sz="0" w:space="0" w:color="auto"/>
            <w:right w:val="none" w:sz="0" w:space="0" w:color="auto"/>
          </w:divBdr>
        </w:div>
      </w:divsChild>
    </w:div>
    <w:div w:id="1279263347">
      <w:bodyDiv w:val="1"/>
      <w:marLeft w:val="0"/>
      <w:marRight w:val="0"/>
      <w:marTop w:val="0"/>
      <w:marBottom w:val="0"/>
      <w:divBdr>
        <w:top w:val="none" w:sz="0" w:space="0" w:color="auto"/>
        <w:left w:val="none" w:sz="0" w:space="0" w:color="auto"/>
        <w:bottom w:val="none" w:sz="0" w:space="0" w:color="auto"/>
        <w:right w:val="none" w:sz="0" w:space="0" w:color="auto"/>
      </w:divBdr>
    </w:div>
    <w:div w:id="1358046656">
      <w:bodyDiv w:val="1"/>
      <w:marLeft w:val="0"/>
      <w:marRight w:val="0"/>
      <w:marTop w:val="0"/>
      <w:marBottom w:val="0"/>
      <w:divBdr>
        <w:top w:val="none" w:sz="0" w:space="0" w:color="auto"/>
        <w:left w:val="none" w:sz="0" w:space="0" w:color="auto"/>
        <w:bottom w:val="none" w:sz="0" w:space="0" w:color="auto"/>
        <w:right w:val="none" w:sz="0" w:space="0" w:color="auto"/>
      </w:divBdr>
    </w:div>
    <w:div w:id="1493447166">
      <w:bodyDiv w:val="1"/>
      <w:marLeft w:val="0"/>
      <w:marRight w:val="0"/>
      <w:marTop w:val="0"/>
      <w:marBottom w:val="0"/>
      <w:divBdr>
        <w:top w:val="none" w:sz="0" w:space="0" w:color="auto"/>
        <w:left w:val="none" w:sz="0" w:space="0" w:color="auto"/>
        <w:bottom w:val="none" w:sz="0" w:space="0" w:color="auto"/>
        <w:right w:val="none" w:sz="0" w:space="0" w:color="auto"/>
      </w:divBdr>
    </w:div>
    <w:div w:id="1679893588">
      <w:bodyDiv w:val="1"/>
      <w:marLeft w:val="0"/>
      <w:marRight w:val="0"/>
      <w:marTop w:val="0"/>
      <w:marBottom w:val="0"/>
      <w:divBdr>
        <w:top w:val="none" w:sz="0" w:space="0" w:color="auto"/>
        <w:left w:val="none" w:sz="0" w:space="0" w:color="auto"/>
        <w:bottom w:val="none" w:sz="0" w:space="0" w:color="auto"/>
        <w:right w:val="none" w:sz="0" w:space="0" w:color="auto"/>
      </w:divBdr>
    </w:div>
    <w:div w:id="1741362323">
      <w:bodyDiv w:val="1"/>
      <w:marLeft w:val="0"/>
      <w:marRight w:val="0"/>
      <w:marTop w:val="0"/>
      <w:marBottom w:val="0"/>
      <w:divBdr>
        <w:top w:val="none" w:sz="0" w:space="0" w:color="auto"/>
        <w:left w:val="none" w:sz="0" w:space="0" w:color="auto"/>
        <w:bottom w:val="none" w:sz="0" w:space="0" w:color="auto"/>
        <w:right w:val="none" w:sz="0" w:space="0" w:color="auto"/>
      </w:divBdr>
      <w:divsChild>
        <w:div w:id="609702719">
          <w:marLeft w:val="0"/>
          <w:marRight w:val="0"/>
          <w:marTop w:val="0"/>
          <w:marBottom w:val="0"/>
          <w:divBdr>
            <w:top w:val="none" w:sz="0" w:space="0" w:color="auto"/>
            <w:left w:val="none" w:sz="0" w:space="0" w:color="auto"/>
            <w:bottom w:val="none" w:sz="0" w:space="0" w:color="auto"/>
            <w:right w:val="none" w:sz="0" w:space="0" w:color="auto"/>
          </w:divBdr>
        </w:div>
        <w:div w:id="1562986464">
          <w:marLeft w:val="0"/>
          <w:marRight w:val="0"/>
          <w:marTop w:val="0"/>
          <w:marBottom w:val="0"/>
          <w:divBdr>
            <w:top w:val="none" w:sz="0" w:space="0" w:color="auto"/>
            <w:left w:val="none" w:sz="0" w:space="0" w:color="auto"/>
            <w:bottom w:val="none" w:sz="0" w:space="0" w:color="auto"/>
            <w:right w:val="none" w:sz="0" w:space="0" w:color="auto"/>
          </w:divBdr>
        </w:div>
      </w:divsChild>
    </w:div>
    <w:div w:id="20894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4d056a9-4d90-4dc0-afcb-14a03b433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61FACCDC5FB4397096678CF3D6C1E" ma:contentTypeVersion="21" ma:contentTypeDescription="Create a new document." ma:contentTypeScope="" ma:versionID="9e5ed3318da078ee1b77a6deb1fc09a6">
  <xsd:schema xmlns:xsd="http://www.w3.org/2001/XMLSchema" xmlns:xs="http://www.w3.org/2001/XMLSchema" xmlns:p="http://schemas.microsoft.com/office/2006/metadata/properties" xmlns:ns1="http://schemas.microsoft.com/sharepoint/v3" xmlns:ns3="74d056a9-4d90-4dc0-afcb-14a03b4335cf" xmlns:ns4="0a2d49bd-bd92-4292-9f34-8555e5edba8d" targetNamespace="http://schemas.microsoft.com/office/2006/metadata/properties" ma:root="true" ma:fieldsID="1d32cc84badb3f8d8226fd232836a6cb" ns1:_="" ns3:_="" ns4:_="">
    <xsd:import namespace="http://schemas.microsoft.com/sharepoint/v3"/>
    <xsd:import namespace="74d056a9-4d90-4dc0-afcb-14a03b4335cf"/>
    <xsd:import namespace="0a2d49bd-bd92-4292-9f34-8555e5edba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ystemTags" minOccurs="0"/>
                <xsd:element ref="ns3:MediaServiceSearchProperties"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056a9-4d90-4dc0-afcb-14a03b433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d49bd-bd92-4292-9f34-8555e5edb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15BB-8989-4782-84D0-4B55019FB16E}">
  <ds:schemaRefs>
    <ds:schemaRef ds:uri="http://schemas.microsoft.com/office/2006/metadata/properties"/>
    <ds:schemaRef ds:uri="http://schemas.microsoft.com/office/infopath/2007/PartnerControls"/>
    <ds:schemaRef ds:uri="http://schemas.microsoft.com/sharepoint/v3"/>
    <ds:schemaRef ds:uri="74d056a9-4d90-4dc0-afcb-14a03b4335cf"/>
  </ds:schemaRefs>
</ds:datastoreItem>
</file>

<file path=customXml/itemProps2.xml><?xml version="1.0" encoding="utf-8"?>
<ds:datastoreItem xmlns:ds="http://schemas.openxmlformats.org/officeDocument/2006/customXml" ds:itemID="{E63788A7-63CF-4BC1-B31C-AF6FB4A6792A}">
  <ds:schemaRefs>
    <ds:schemaRef ds:uri="http://schemas.microsoft.com/sharepoint/v3/contenttype/forms"/>
  </ds:schemaRefs>
</ds:datastoreItem>
</file>

<file path=customXml/itemProps3.xml><?xml version="1.0" encoding="utf-8"?>
<ds:datastoreItem xmlns:ds="http://schemas.openxmlformats.org/officeDocument/2006/customXml" ds:itemID="{D417763F-C379-42B7-85D7-361D2656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056a9-4d90-4dc0-afcb-14a03b4335cf"/>
    <ds:schemaRef ds:uri="0a2d49bd-bd92-4292-9f34-8555e5edb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53CCA-8D16-4D65-B310-3BACDBB5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Ms Justice Ruth</dc:creator>
  <cp:keywords/>
  <dc:description/>
  <cp:lastModifiedBy>pati-svc</cp:lastModifiedBy>
  <cp:revision>2</cp:revision>
  <dcterms:created xsi:type="dcterms:W3CDTF">2025-11-13T18:20:00Z</dcterms:created>
  <dcterms:modified xsi:type="dcterms:W3CDTF">2025-11-13T18:20:00Z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0x0101000BC61FACCDC5FB4397096678CF3D6C1E</vt:lpwstr>
  </property>
</Properties>
</file>